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542213580"/>
        <w:docPartObj>
          <w:docPartGallery w:val="Cover Pages"/>
          <w:docPartUnique/>
        </w:docPartObj>
      </w:sdtPr>
      <w:sdtEndPr>
        <w:rPr>
          <w:rFonts w:ascii="Times New Roman" w:eastAsia="Calibri" w:hAnsi="Times New Roman" w:cs="Times New Roman"/>
          <w:iCs/>
          <w:caps w:val="0"/>
          <w:sz w:val="20"/>
          <w:szCs w:val="20"/>
        </w:rPr>
      </w:sdtEndPr>
      <w:sdtContent>
        <w:tbl>
          <w:tblPr>
            <w:tblW w:w="5000" w:type="pct"/>
            <w:jc w:val="center"/>
            <w:tblLook w:val="04A0" w:firstRow="1" w:lastRow="0" w:firstColumn="1" w:lastColumn="0" w:noHBand="0" w:noVBand="1"/>
          </w:tblPr>
          <w:tblGrid>
            <w:gridCol w:w="11016"/>
          </w:tblGrid>
          <w:tr w:rsidR="00EE32DE">
            <w:trPr>
              <w:trHeight w:val="2880"/>
              <w:jc w:val="center"/>
            </w:trPr>
            <w:tc>
              <w:tcPr>
                <w:tcW w:w="5000" w:type="pct"/>
              </w:tcPr>
              <w:p w:rsidR="00EE32DE" w:rsidRDefault="00EE32DE">
                <w:pPr>
                  <w:pStyle w:val="NoSpacing"/>
                  <w:jc w:val="center"/>
                  <w:rPr>
                    <w:rFonts w:asciiTheme="majorHAnsi" w:eastAsiaTheme="majorEastAsia" w:hAnsiTheme="majorHAnsi" w:cstheme="majorBidi"/>
                    <w:caps/>
                  </w:rPr>
                </w:pPr>
              </w:p>
            </w:tc>
          </w:tr>
          <w:tr w:rsidR="00EE32DE">
            <w:trPr>
              <w:trHeight w:val="1440"/>
              <w:jc w:val="center"/>
            </w:trPr>
            <w:sdt>
              <w:sdtPr>
                <w:rPr>
                  <w:rFonts w:asciiTheme="majorHAnsi" w:eastAsiaTheme="majorEastAsia" w:hAnsiTheme="majorHAnsi" w:cstheme="majorBidi"/>
                  <w:sz w:val="68"/>
                  <w:szCs w:val="68"/>
                </w:rPr>
                <w:alias w:val="Title"/>
                <w:id w:val="15524250"/>
                <w:placeholder>
                  <w:docPart w:val="5E42EA31530841BDB446B4CD69AF6130"/>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EE32DE" w:rsidRDefault="00EE32DE">
                    <w:pPr>
                      <w:pStyle w:val="NoSpacing"/>
                      <w:jc w:val="center"/>
                      <w:rPr>
                        <w:rFonts w:asciiTheme="majorHAnsi" w:eastAsiaTheme="majorEastAsia" w:hAnsiTheme="majorHAnsi" w:cstheme="majorBidi"/>
                        <w:sz w:val="80"/>
                        <w:szCs w:val="80"/>
                      </w:rPr>
                    </w:pPr>
                    <w:r w:rsidRPr="00DC1361">
                      <w:rPr>
                        <w:rFonts w:asciiTheme="majorHAnsi" w:eastAsiaTheme="majorEastAsia" w:hAnsiTheme="majorHAnsi" w:cstheme="majorBidi"/>
                        <w:sz w:val="68"/>
                        <w:szCs w:val="68"/>
                      </w:rPr>
                      <w:t>Copyright Issues in Educatio</w:t>
                    </w:r>
                    <w:r w:rsidR="00EA2F2A" w:rsidRPr="00DC1361">
                      <w:rPr>
                        <w:rFonts w:asciiTheme="majorHAnsi" w:eastAsiaTheme="majorEastAsia" w:hAnsiTheme="majorHAnsi" w:cstheme="majorBidi"/>
                        <w:sz w:val="68"/>
                        <w:szCs w:val="68"/>
                      </w:rPr>
                      <w:t>n and for the Visually Impaired</w:t>
                    </w:r>
                    <w:r w:rsidR="00BC34D2" w:rsidRPr="00DC1361">
                      <w:rPr>
                        <w:rFonts w:asciiTheme="majorHAnsi" w:eastAsiaTheme="majorEastAsia" w:hAnsiTheme="majorHAnsi" w:cstheme="majorBidi"/>
                        <w:sz w:val="68"/>
                        <w:szCs w:val="68"/>
                      </w:rPr>
                      <w:t>: Written Statement of Higher Education</w:t>
                    </w:r>
                  </w:p>
                </w:tc>
              </w:sdtContent>
            </w:sdt>
          </w:tr>
          <w:tr w:rsidR="00EE32DE">
            <w:trPr>
              <w:trHeight w:val="720"/>
              <w:jc w:val="center"/>
            </w:trPr>
            <w:sdt>
              <w:sdtPr>
                <w:rPr>
                  <w:rFonts w:asciiTheme="majorHAnsi" w:eastAsiaTheme="majorEastAsia" w:hAnsiTheme="majorHAnsi" w:cstheme="majorBidi"/>
                  <w:sz w:val="44"/>
                  <w:szCs w:val="44"/>
                </w:rPr>
                <w:alias w:val="Subtitle"/>
                <w:id w:val="15524255"/>
                <w:placeholder>
                  <w:docPart w:val="EFE531833FED44398938C8D55B3BACC2"/>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EE32DE" w:rsidRDefault="0066341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House </w:t>
                    </w:r>
                    <w:r w:rsidR="00EE32DE" w:rsidRPr="00EE32DE">
                      <w:rPr>
                        <w:rFonts w:asciiTheme="majorHAnsi" w:eastAsiaTheme="majorEastAsia" w:hAnsiTheme="majorHAnsi" w:cstheme="majorBidi"/>
                        <w:sz w:val="44"/>
                        <w:szCs w:val="44"/>
                      </w:rPr>
                      <w:t>Committee on the Judiciary’s Subcommittee on Courts, Intellectual Property, and the Internet</w:t>
                    </w:r>
                  </w:p>
                </w:tc>
              </w:sdtContent>
            </w:sdt>
          </w:tr>
          <w:tr w:rsidR="00EE32DE">
            <w:trPr>
              <w:trHeight w:val="360"/>
              <w:jc w:val="center"/>
            </w:trPr>
            <w:tc>
              <w:tcPr>
                <w:tcW w:w="5000" w:type="pct"/>
                <w:vAlign w:val="center"/>
              </w:tcPr>
              <w:p w:rsidR="00EE32DE" w:rsidRDefault="00EE32DE">
                <w:pPr>
                  <w:pStyle w:val="NoSpacing"/>
                  <w:jc w:val="center"/>
                </w:pPr>
              </w:p>
            </w:tc>
          </w:tr>
          <w:tr w:rsidR="00EE32DE">
            <w:trPr>
              <w:trHeight w:val="360"/>
              <w:jc w:val="center"/>
            </w:trPr>
            <w:sdt>
              <w:sdtPr>
                <w:rPr>
                  <w:b/>
                  <w:bCs/>
                </w:rPr>
                <w:alias w:val="Author"/>
                <w:id w:val="15524260"/>
                <w:placeholder>
                  <w:docPart w:val="9462AE656DC84285AEB6C3C86D425B8F"/>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EE32DE" w:rsidRDefault="00EE32DE" w:rsidP="00EE32DE">
                    <w:pPr>
                      <w:pStyle w:val="NoSpacing"/>
                      <w:jc w:val="center"/>
                      <w:rPr>
                        <w:b/>
                        <w:bCs/>
                      </w:rPr>
                    </w:pPr>
                    <w:r>
                      <w:rPr>
                        <w:b/>
                        <w:bCs/>
                      </w:rPr>
                      <w:t>Jack Bernard, Associate General Counsel, University of Michigan</w:t>
                    </w:r>
                  </w:p>
                </w:tc>
              </w:sdtContent>
            </w:sdt>
          </w:tr>
          <w:tr w:rsidR="00EE32DE">
            <w:trPr>
              <w:trHeight w:val="360"/>
              <w:jc w:val="center"/>
            </w:trPr>
            <w:sdt>
              <w:sdtPr>
                <w:rPr>
                  <w:b/>
                  <w:bCs/>
                </w:rPr>
                <w:alias w:val="Date"/>
                <w:id w:val="516659546"/>
                <w:placeholder>
                  <w:docPart w:val="6A3629DE79CB4581A57E44F99A0C3571"/>
                </w:placeholder>
                <w:dataBinding w:prefixMappings="xmlns:ns0='http://schemas.microsoft.com/office/2006/coverPageProps'" w:xpath="/ns0:CoverPageProperties[1]/ns0:PublishDate[1]" w:storeItemID="{55AF091B-3C7A-41E3-B477-F2FDAA23CFDA}"/>
                <w:date w:fullDate="2014-11-19T00:00:00Z">
                  <w:dateFormat w:val="M/d/yyyy"/>
                  <w:lid w:val="en-US"/>
                  <w:storeMappedDataAs w:val="dateTime"/>
                  <w:calendar w:val="gregorian"/>
                </w:date>
              </w:sdtPr>
              <w:sdtEndPr/>
              <w:sdtContent>
                <w:tc>
                  <w:tcPr>
                    <w:tcW w:w="5000" w:type="pct"/>
                    <w:vAlign w:val="center"/>
                  </w:tcPr>
                  <w:p w:rsidR="00EE32DE" w:rsidRDefault="00D84B86" w:rsidP="00405015">
                    <w:pPr>
                      <w:pStyle w:val="NoSpacing"/>
                      <w:jc w:val="center"/>
                      <w:rPr>
                        <w:b/>
                        <w:bCs/>
                      </w:rPr>
                    </w:pPr>
                    <w:r>
                      <w:rPr>
                        <w:b/>
                        <w:bCs/>
                      </w:rPr>
                      <w:t>11/19/2014</w:t>
                    </w:r>
                  </w:p>
                </w:tc>
              </w:sdtContent>
            </w:sdt>
          </w:tr>
        </w:tbl>
        <w:p w:rsidR="00EE32DE" w:rsidRDefault="00EE32DE"/>
        <w:p w:rsidR="00EE32DE" w:rsidRDefault="00EE32DE"/>
        <w:tbl>
          <w:tblPr>
            <w:tblpPr w:leftFromText="187" w:rightFromText="187" w:horzAnchor="margin" w:tblpXSpec="center" w:tblpYSpec="bottom"/>
            <w:tblW w:w="5000" w:type="pct"/>
            <w:tblLook w:val="04A0" w:firstRow="1" w:lastRow="0" w:firstColumn="1" w:lastColumn="0" w:noHBand="0" w:noVBand="1"/>
          </w:tblPr>
          <w:tblGrid>
            <w:gridCol w:w="11016"/>
          </w:tblGrid>
          <w:tr w:rsidR="00EE32DE">
            <w:tc>
              <w:tcPr>
                <w:tcW w:w="5000" w:type="pct"/>
              </w:tcPr>
              <w:p w:rsidR="00EE32DE" w:rsidRDefault="00EE32DE">
                <w:pPr>
                  <w:pStyle w:val="NoSpacing"/>
                </w:pPr>
              </w:p>
            </w:tc>
          </w:tr>
        </w:tbl>
        <w:p w:rsidR="00EE32DE" w:rsidRDefault="00EE32DE"/>
        <w:p w:rsidR="00EE32DE" w:rsidRDefault="00D84B86">
          <w:pPr>
            <w:rPr>
              <w:iCs/>
              <w:sz w:val="20"/>
              <w:szCs w:val="20"/>
            </w:rPr>
          </w:pPr>
          <w:r>
            <w:rPr>
              <w:iCs/>
              <w:noProof/>
              <w:sz w:val="20"/>
              <w:szCs w:val="20"/>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828800" cy="1828800"/>
                <wp:effectExtent l="0" t="0" r="0" b="0"/>
                <wp:wrapSquare wrapText="bothSides"/>
                <wp:docPr id="1" name="Picture 1" descr="N:\Miscellaneous\AAU Logo\Official_AA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iscellaneous\AAU Logo\Official_AAU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anchor>
            </w:drawing>
          </w:r>
          <w:r w:rsidR="00EE32DE">
            <w:rPr>
              <w:iCs/>
              <w:sz w:val="20"/>
              <w:szCs w:val="20"/>
            </w:rPr>
            <w:br w:type="page"/>
          </w:r>
        </w:p>
      </w:sdtContent>
    </w:sdt>
    <w:p w:rsidR="003F24D2" w:rsidRDefault="003F24D2" w:rsidP="003F24D2">
      <w:pPr>
        <w:shd w:val="clear" w:color="auto" w:fill="FFFFFF"/>
        <w:spacing w:before="100" w:beforeAutospacing="1" w:after="240"/>
        <w:jc w:val="center"/>
        <w:rPr>
          <w:rFonts w:eastAsia="Times New Roman"/>
          <w:caps/>
          <w:color w:val="000000"/>
        </w:rPr>
      </w:pPr>
      <w:r>
        <w:rPr>
          <w:rFonts w:eastAsia="Times New Roman"/>
          <w:color w:val="000000"/>
        </w:rPr>
        <w:lastRenderedPageBreak/>
        <w:t>BEFORE THE HOUSE COMMITTEE ON THE JUDICIARY</w:t>
      </w:r>
      <w:r>
        <w:rPr>
          <w:rFonts w:eastAsia="Times New Roman"/>
          <w:color w:val="000000"/>
        </w:rPr>
        <w:br/>
        <w:t>SUBCOMMITTEE ON COURTS, INTELLECTUAL PROPERTY, AND THE INTERNET</w:t>
      </w:r>
      <w:r>
        <w:rPr>
          <w:rFonts w:eastAsia="Times New Roman"/>
          <w:color w:val="000000"/>
        </w:rPr>
        <w:br/>
      </w:r>
      <w:r>
        <w:rPr>
          <w:rFonts w:eastAsia="Times New Roman"/>
          <w:color w:val="000000"/>
        </w:rPr>
        <w:br/>
        <w:t xml:space="preserve">HEARING ON </w:t>
      </w:r>
      <w:r w:rsidRPr="003F24D2">
        <w:rPr>
          <w:rFonts w:eastAsia="Times New Roman"/>
          <w:caps/>
          <w:color w:val="000000"/>
        </w:rPr>
        <w:t>Copyright Issues in Education and for the Visually Impaired</w:t>
      </w:r>
    </w:p>
    <w:p w:rsidR="003F24D2" w:rsidRDefault="003F24D2" w:rsidP="003F24D2">
      <w:pPr>
        <w:shd w:val="clear" w:color="auto" w:fill="FFFFFF"/>
        <w:spacing w:before="100" w:beforeAutospacing="1" w:after="240"/>
        <w:jc w:val="center"/>
        <w:rPr>
          <w:rFonts w:eastAsia="Times New Roman"/>
          <w:caps/>
          <w:color w:val="000000"/>
        </w:rPr>
      </w:pPr>
      <w:r>
        <w:rPr>
          <w:rFonts w:eastAsia="Times New Roman"/>
          <w:caps/>
          <w:color w:val="000000"/>
        </w:rPr>
        <w:t>STATEMENT OF HIGHER EDUCATION</w:t>
      </w:r>
    </w:p>
    <w:p w:rsidR="003F24D2" w:rsidRDefault="003F24D2" w:rsidP="00E96DF2">
      <w:pPr>
        <w:shd w:val="clear" w:color="auto" w:fill="FFFFFF"/>
        <w:spacing w:before="100" w:beforeAutospacing="1" w:after="240"/>
        <w:jc w:val="center"/>
        <w:rPr>
          <w:rFonts w:eastAsia="Times New Roman"/>
          <w:color w:val="000000"/>
        </w:rPr>
      </w:pPr>
      <w:r>
        <w:rPr>
          <w:rFonts w:eastAsia="Times New Roman"/>
          <w:color w:val="000000"/>
        </w:rPr>
        <w:t>Submitted on behalf of:</w:t>
      </w:r>
      <w:r>
        <w:rPr>
          <w:rFonts w:eastAsia="Times New Roman"/>
          <w:color w:val="000000"/>
        </w:rPr>
        <w:br/>
        <w:t>Association of American Universities</w:t>
      </w:r>
      <w:r w:rsidR="001E0BC9">
        <w:rPr>
          <w:rFonts w:eastAsia="Times New Roman"/>
          <w:color w:val="000000"/>
        </w:rPr>
        <w:br/>
      </w:r>
      <w:r w:rsidR="001E0BC9">
        <w:t>American  Association  of  Community  Colleges</w:t>
      </w:r>
      <w:r w:rsidR="00E96DF2">
        <w:br/>
        <w:t>American  Association  of  State  Colleges  and  Universities</w:t>
      </w:r>
      <w:r>
        <w:rPr>
          <w:rFonts w:eastAsia="Times New Roman"/>
          <w:color w:val="000000"/>
        </w:rPr>
        <w:br/>
        <w:t>American Council on Education</w:t>
      </w:r>
      <w:r>
        <w:rPr>
          <w:rFonts w:eastAsia="Times New Roman"/>
          <w:color w:val="000000"/>
        </w:rPr>
        <w:br/>
        <w:t>Association of Public and Land-grant Universities</w:t>
      </w:r>
      <w:r w:rsidR="00E96DF2">
        <w:rPr>
          <w:rFonts w:eastAsia="Times New Roman"/>
          <w:color w:val="000000"/>
        </w:rPr>
        <w:br/>
      </w:r>
      <w:r w:rsidR="00E96DF2">
        <w:t>National  Association  of  Independent  Colleges  and  Universities</w:t>
      </w:r>
    </w:p>
    <w:p w:rsidR="00E96DF2" w:rsidRDefault="00E96DF2" w:rsidP="00E96DF2">
      <w:pPr>
        <w:shd w:val="clear" w:color="auto" w:fill="FFFFFF"/>
        <w:spacing w:before="100" w:beforeAutospacing="1" w:after="240"/>
        <w:jc w:val="center"/>
        <w:rPr>
          <w:rFonts w:eastAsia="Times New Roman"/>
          <w:color w:val="000000"/>
        </w:rPr>
      </w:pPr>
    </w:p>
    <w:p w:rsidR="00E96DF2" w:rsidRDefault="00E96DF2" w:rsidP="00E96DF2">
      <w:pPr>
        <w:shd w:val="clear" w:color="auto" w:fill="FFFFFF"/>
        <w:spacing w:before="100" w:beforeAutospacing="1" w:after="240"/>
        <w:jc w:val="center"/>
        <w:rPr>
          <w:rFonts w:eastAsia="Times New Roman"/>
          <w:color w:val="000000"/>
        </w:rPr>
      </w:pPr>
    </w:p>
    <w:p w:rsidR="003F24D2" w:rsidRDefault="00D94BAF" w:rsidP="003F24D2">
      <w:pPr>
        <w:shd w:val="clear" w:color="auto" w:fill="FFFFFF"/>
        <w:spacing w:before="100" w:beforeAutospacing="1" w:after="240"/>
        <w:ind w:firstLine="360"/>
        <w:rPr>
          <w:rFonts w:eastAsia="Times New Roman"/>
          <w:color w:val="000000"/>
        </w:rPr>
      </w:pPr>
      <w:r w:rsidRPr="00F1374C">
        <w:rPr>
          <w:rFonts w:eastAsia="Times New Roman"/>
          <w:color w:val="000000"/>
        </w:rPr>
        <w:t>Submitted November 1</w:t>
      </w:r>
      <w:r w:rsidR="00B90E7D" w:rsidRPr="00F1374C">
        <w:rPr>
          <w:rFonts w:eastAsia="Times New Roman"/>
          <w:color w:val="000000"/>
        </w:rPr>
        <w:t>7</w:t>
      </w:r>
      <w:r w:rsidRPr="00F1374C">
        <w:rPr>
          <w:rFonts w:eastAsia="Times New Roman"/>
          <w:color w:val="000000"/>
        </w:rPr>
        <w:t>, 2014</w:t>
      </w:r>
    </w:p>
    <w:p w:rsidR="00537520" w:rsidRDefault="00475AEB" w:rsidP="00737455">
      <w:pPr>
        <w:shd w:val="clear" w:color="auto" w:fill="FFFFFF"/>
        <w:spacing w:before="100" w:beforeAutospacing="1" w:after="240"/>
        <w:ind w:firstLine="720"/>
      </w:pPr>
      <w:r>
        <w:rPr>
          <w:rFonts w:eastAsia="Times New Roman"/>
          <w:color w:val="000000"/>
        </w:rPr>
        <w:t xml:space="preserve">The </w:t>
      </w:r>
      <w:r w:rsidR="007C517D">
        <w:rPr>
          <w:rFonts w:eastAsia="Times New Roman"/>
          <w:color w:val="000000"/>
        </w:rPr>
        <w:t>higher education associations</w:t>
      </w:r>
      <w:r>
        <w:rPr>
          <w:rFonts w:eastAsia="Times New Roman"/>
          <w:color w:val="000000"/>
        </w:rPr>
        <w:t xml:space="preserve"> listed above collectively represent a broad range of higher education institutions in the United States, including public and private colleges and universities with comprehensive graduate and professional education programs.  Our members educate a </w:t>
      </w:r>
      <w:r w:rsidR="007212AA">
        <w:rPr>
          <w:rFonts w:eastAsia="Times New Roman"/>
          <w:color w:val="000000"/>
        </w:rPr>
        <w:t xml:space="preserve">substantial </w:t>
      </w:r>
      <w:r w:rsidR="00D41D89">
        <w:rPr>
          <w:rFonts w:eastAsia="Times New Roman"/>
          <w:color w:val="000000"/>
        </w:rPr>
        <w:t>majority</w:t>
      </w:r>
      <w:r>
        <w:rPr>
          <w:rFonts w:eastAsia="Times New Roman"/>
          <w:color w:val="000000"/>
        </w:rPr>
        <w:t xml:space="preserve"> of American college and university students</w:t>
      </w:r>
      <w:r w:rsidR="009B6FE9">
        <w:rPr>
          <w:rFonts w:eastAsia="Times New Roman"/>
          <w:color w:val="000000"/>
        </w:rPr>
        <w:t xml:space="preserve"> and conduct most of the nation’s basic research</w:t>
      </w:r>
      <w:r w:rsidR="00F520E4">
        <w:rPr>
          <w:rFonts w:eastAsia="Times New Roman"/>
          <w:color w:val="000000"/>
        </w:rPr>
        <w:t>.</w:t>
      </w:r>
      <w:r w:rsidR="00591438">
        <w:rPr>
          <w:rFonts w:eastAsia="Times New Roman"/>
          <w:color w:val="000000"/>
        </w:rPr>
        <w:t xml:space="preserve"> </w:t>
      </w:r>
    </w:p>
    <w:p w:rsidR="00537520" w:rsidRDefault="00537520" w:rsidP="0007234C">
      <w:pPr>
        <w:rPr>
          <w:b/>
          <w:u w:val="single"/>
        </w:rPr>
      </w:pPr>
      <w:r>
        <w:t xml:space="preserve">     </w:t>
      </w:r>
      <w:r w:rsidR="00750BDB">
        <w:tab/>
      </w:r>
      <w:r>
        <w:rPr>
          <w:b/>
          <w:u w:val="single"/>
        </w:rPr>
        <w:t xml:space="preserve">A </w:t>
      </w:r>
      <w:r w:rsidR="001B6E52">
        <w:rPr>
          <w:b/>
          <w:u w:val="single"/>
        </w:rPr>
        <w:t>Carefully Considered</w:t>
      </w:r>
      <w:r w:rsidR="00384E9C">
        <w:rPr>
          <w:b/>
          <w:u w:val="single"/>
        </w:rPr>
        <w:t xml:space="preserve"> Bargain</w:t>
      </w:r>
    </w:p>
    <w:p w:rsidR="00537520" w:rsidRPr="008C71FC" w:rsidRDefault="00537520" w:rsidP="0007234C">
      <w:pPr>
        <w:rPr>
          <w:b/>
          <w:u w:val="single"/>
        </w:rPr>
      </w:pPr>
    </w:p>
    <w:p w:rsidR="001B6E52" w:rsidRDefault="0007234C" w:rsidP="002547F6">
      <w:pPr>
        <w:ind w:firstLine="720"/>
      </w:pPr>
      <w:r>
        <w:t>In the United States, we are particularly thoughtful and deliberate when we turn our attention to copyright law</w:t>
      </w:r>
      <w:r w:rsidR="008C71FC">
        <w:t>,</w:t>
      </w:r>
      <w:r>
        <w:t xml:space="preserve"> because it is so deeply connected to </w:t>
      </w:r>
      <w:r w:rsidR="00096D49">
        <w:t xml:space="preserve">two </w:t>
      </w:r>
      <w:r>
        <w:t xml:space="preserve">of our most fundamental values: freedom of expression and </w:t>
      </w:r>
      <w:r w:rsidR="00B6531F">
        <w:t>promotion of</w:t>
      </w:r>
      <w:r>
        <w:t xml:space="preserve"> progress.</w:t>
      </w:r>
      <w:r w:rsidR="00737455">
        <w:t xml:space="preserve">  </w:t>
      </w:r>
      <w:r w:rsidR="000551F7">
        <w:t>Copyright law provides a strong, effective incentive for authors, artists, musicians and others to produce creative works that enrich the lives of our nation’s citizens and produce new knowledge about</w:t>
      </w:r>
      <w:r w:rsidR="0044602F">
        <w:t xml:space="preserve"> and understandings of</w:t>
      </w:r>
      <w:r w:rsidR="000551F7">
        <w:t xml:space="preserve"> the human condition and the world in which we live.  </w:t>
      </w:r>
      <w:r w:rsidR="006E6A3A">
        <w:t>B</w:t>
      </w:r>
      <w:r w:rsidR="000551F7">
        <w:t>ecause the exercise of copyright rights</w:t>
      </w:r>
      <w:r w:rsidR="006E6A3A">
        <w:t xml:space="preserve"> </w:t>
      </w:r>
      <w:r w:rsidR="000551F7">
        <w:t>also has the potential to curtail expression</w:t>
      </w:r>
      <w:r w:rsidR="00DC67A6">
        <w:t xml:space="preserve"> and innovation</w:t>
      </w:r>
      <w:r w:rsidR="000551F7">
        <w:t xml:space="preserve">, </w:t>
      </w:r>
      <w:r w:rsidR="006E6A3A">
        <w:t xml:space="preserve">however, </w:t>
      </w:r>
      <w:r w:rsidR="000551F7">
        <w:t xml:space="preserve">we have crafted </w:t>
      </w:r>
      <w:r w:rsidR="00044C0A">
        <w:t xml:space="preserve">the </w:t>
      </w:r>
      <w:r w:rsidR="000551F7">
        <w:t xml:space="preserve">provisions </w:t>
      </w:r>
      <w:r w:rsidR="00044C0A">
        <w:t xml:space="preserve">of our copyright law </w:t>
      </w:r>
      <w:r w:rsidR="000551F7">
        <w:t xml:space="preserve">to </w:t>
      </w:r>
      <w:r w:rsidR="00F134F3">
        <w:t>strike the appropriate balance between the rights granted to copyright holders and the rights reserved for the public.</w:t>
      </w:r>
    </w:p>
    <w:p w:rsidR="0007234C" w:rsidRPr="00402C73" w:rsidRDefault="00FC78F0" w:rsidP="00F45646">
      <w:pPr>
        <w:shd w:val="clear" w:color="auto" w:fill="FFFFFF"/>
        <w:spacing w:before="100" w:beforeAutospacing="1" w:after="240"/>
        <w:rPr>
          <w:rFonts w:eastAsia="Times New Roman"/>
          <w:b/>
          <w:color w:val="000000"/>
          <w:u w:val="single"/>
        </w:rPr>
      </w:pPr>
      <w:r>
        <w:tab/>
      </w:r>
      <w:r w:rsidR="00537520" w:rsidRPr="00402C73">
        <w:rPr>
          <w:rFonts w:eastAsia="Times New Roman"/>
          <w:b/>
          <w:color w:val="000000"/>
          <w:u w:val="single"/>
        </w:rPr>
        <w:t>A Common Cause</w:t>
      </w:r>
    </w:p>
    <w:p w:rsidR="00BA00E2" w:rsidRDefault="00BA00E2" w:rsidP="00BA00E2">
      <w:pPr>
        <w:shd w:val="clear" w:color="auto" w:fill="FFFFFF"/>
        <w:spacing w:before="100" w:beforeAutospacing="1" w:after="240"/>
        <w:ind w:firstLine="720"/>
        <w:rPr>
          <w:rFonts w:eastAsia="Times New Roman"/>
        </w:rPr>
      </w:pPr>
      <w:r w:rsidRPr="000E5AF5">
        <w:rPr>
          <w:rFonts w:eastAsia="Times New Roman"/>
          <w:color w:val="000000"/>
        </w:rPr>
        <w:t>Universities share a common mission with copyright</w:t>
      </w:r>
      <w:r>
        <w:rPr>
          <w:rFonts w:eastAsia="Times New Roman"/>
          <w:color w:val="000000"/>
        </w:rPr>
        <w:t>—</w:t>
      </w:r>
      <w:r w:rsidRPr="000E5AF5">
        <w:rPr>
          <w:rFonts w:eastAsia="Times New Roman"/>
          <w:color w:val="000000"/>
        </w:rPr>
        <w:t xml:space="preserve">namely, to </w:t>
      </w:r>
      <w:r>
        <w:rPr>
          <w:rFonts w:eastAsia="Times New Roman"/>
          <w:color w:val="000000"/>
        </w:rPr>
        <w:t>serve society by promoting the “</w:t>
      </w:r>
      <w:r w:rsidRPr="000E5AF5">
        <w:rPr>
          <w:rFonts w:eastAsia="Times New Roman"/>
          <w:color w:val="000000"/>
        </w:rPr>
        <w:t>Progr</w:t>
      </w:r>
      <w:r>
        <w:rPr>
          <w:rFonts w:eastAsia="Times New Roman"/>
          <w:color w:val="000000"/>
        </w:rPr>
        <w:t>ess of Science and useful Arts” by</w:t>
      </w:r>
      <w:r w:rsidRPr="000E5AF5">
        <w:rPr>
          <w:rFonts w:eastAsia="Times New Roman"/>
          <w:color w:val="000000"/>
        </w:rPr>
        <w:t xml:space="preserve"> encouraging and supporting the creation and </w:t>
      </w:r>
      <w:r>
        <w:rPr>
          <w:rFonts w:eastAsia="Times New Roman"/>
          <w:color w:val="000000"/>
        </w:rPr>
        <w:t>dissemination</w:t>
      </w:r>
      <w:r w:rsidRPr="000E5AF5">
        <w:rPr>
          <w:rFonts w:eastAsia="Times New Roman"/>
          <w:color w:val="000000"/>
        </w:rPr>
        <w:t xml:space="preserve"> of knowledge</w:t>
      </w:r>
      <w:r>
        <w:rPr>
          <w:rFonts w:eastAsia="Times New Roman"/>
          <w:color w:val="000000"/>
        </w:rPr>
        <w:t xml:space="preserve"> and creative works</w:t>
      </w:r>
      <w:r w:rsidRPr="000E5AF5">
        <w:rPr>
          <w:rFonts w:eastAsia="Times New Roman"/>
          <w:color w:val="000000"/>
        </w:rPr>
        <w:t xml:space="preserve"> for the public's benefit. </w:t>
      </w:r>
      <w:r>
        <w:rPr>
          <w:rFonts w:eastAsia="Times New Roman"/>
          <w:color w:val="000000"/>
        </w:rPr>
        <w:t xml:space="preserve"> </w:t>
      </w:r>
      <w:r w:rsidRPr="000E5AF5">
        <w:rPr>
          <w:rFonts w:eastAsia="Times New Roman"/>
        </w:rPr>
        <w:t xml:space="preserve">At the same time, universities have a </w:t>
      </w:r>
      <w:r>
        <w:rPr>
          <w:rFonts w:eastAsia="Times New Roman"/>
        </w:rPr>
        <w:t>distinctively</w:t>
      </w:r>
      <w:r w:rsidRPr="000E5AF5">
        <w:rPr>
          <w:rFonts w:eastAsia="Times New Roman"/>
        </w:rPr>
        <w:t xml:space="preserve"> </w:t>
      </w:r>
      <w:r>
        <w:rPr>
          <w:rFonts w:eastAsia="Times New Roman"/>
        </w:rPr>
        <w:t>robust</w:t>
      </w:r>
      <w:r w:rsidRPr="000E5AF5">
        <w:rPr>
          <w:rFonts w:eastAsia="Times New Roman"/>
        </w:rPr>
        <w:t xml:space="preserve"> relationship with copyright law.  </w:t>
      </w:r>
      <w:r>
        <w:rPr>
          <w:rFonts w:eastAsia="Times New Roman"/>
        </w:rPr>
        <w:t>Universities</w:t>
      </w:r>
      <w:r w:rsidRPr="000E5AF5">
        <w:rPr>
          <w:rFonts w:eastAsia="Times New Roman"/>
        </w:rPr>
        <w:t> and their constituent</w:t>
      </w:r>
      <w:r>
        <w:rPr>
          <w:rFonts w:eastAsia="Times New Roman"/>
        </w:rPr>
        <w:t>s—</w:t>
      </w:r>
      <w:r w:rsidRPr="000E5AF5">
        <w:rPr>
          <w:rFonts w:eastAsia="Times New Roman"/>
        </w:rPr>
        <w:t>faculty, students, and staff</w:t>
      </w:r>
      <w:r>
        <w:rPr>
          <w:rFonts w:eastAsia="Times New Roman"/>
        </w:rPr>
        <w:t>—</w:t>
      </w:r>
      <w:r w:rsidRPr="000E5AF5">
        <w:rPr>
          <w:rFonts w:eastAsia="Times New Roman"/>
        </w:rPr>
        <w:t>are</w:t>
      </w:r>
      <w:r>
        <w:rPr>
          <w:rFonts w:eastAsia="Times New Roman"/>
        </w:rPr>
        <w:t xml:space="preserve"> creators, distributers, and</w:t>
      </w:r>
      <w:r w:rsidRPr="000E5AF5">
        <w:rPr>
          <w:rFonts w:eastAsia="Times New Roman"/>
        </w:rPr>
        <w:t xml:space="preserve"> consumers of copyrighted material</w:t>
      </w:r>
      <w:r>
        <w:rPr>
          <w:rFonts w:eastAsia="Times New Roman"/>
        </w:rPr>
        <w:t>, a dynamic that has only become more complex in the digital era</w:t>
      </w:r>
      <w:r w:rsidRPr="000E5AF5">
        <w:rPr>
          <w:rFonts w:eastAsia="Times New Roman"/>
        </w:rPr>
        <w:t>.  </w:t>
      </w:r>
    </w:p>
    <w:p w:rsidR="00BA00E2" w:rsidRDefault="006F1BF2" w:rsidP="00BA00E2">
      <w:pPr>
        <w:shd w:val="clear" w:color="auto" w:fill="FFFFFF"/>
        <w:spacing w:before="100" w:beforeAutospacing="1" w:after="240"/>
        <w:ind w:firstLine="720"/>
        <w:rPr>
          <w:rFonts w:eastAsia="Times New Roman"/>
        </w:rPr>
      </w:pPr>
      <w:r>
        <w:rPr>
          <w:rFonts w:eastAsia="Times New Roman"/>
          <w:color w:val="000000"/>
        </w:rPr>
        <w:t>Our member colleges and universities, t</w:t>
      </w:r>
      <w:r w:rsidR="00BA00E2">
        <w:rPr>
          <w:rFonts w:eastAsia="Times New Roman"/>
          <w:color w:val="000000"/>
        </w:rPr>
        <w:t xml:space="preserve">he federal government, industry, and philanthropic organizations spend billions of dollars annually to conduct research and scholarship for the benefit of society.  </w:t>
      </w:r>
      <w:r w:rsidR="003612A0">
        <w:rPr>
          <w:rFonts w:eastAsia="Times New Roman"/>
          <w:color w:val="000000"/>
        </w:rPr>
        <w:t>Frequently, the</w:t>
      </w:r>
      <w:r w:rsidR="009E2F9C">
        <w:rPr>
          <w:rFonts w:eastAsia="Times New Roman"/>
          <w:color w:val="000000"/>
        </w:rPr>
        <w:t xml:space="preserve"> </w:t>
      </w:r>
      <w:r w:rsidR="00BA00E2">
        <w:rPr>
          <w:rFonts w:eastAsia="Times New Roman"/>
          <w:color w:val="000000"/>
        </w:rPr>
        <w:t xml:space="preserve">copyrighted works that result from this research are made freely available to the public or are </w:t>
      </w:r>
      <w:r w:rsidR="00BA00E2" w:rsidRPr="00C45B22">
        <w:rPr>
          <w:rFonts w:eastAsia="Times New Roman"/>
          <w:color w:val="000000"/>
        </w:rPr>
        <w:t>submitted</w:t>
      </w:r>
      <w:r w:rsidR="00BA00E2">
        <w:rPr>
          <w:rFonts w:eastAsia="Times New Roman"/>
          <w:color w:val="000000"/>
        </w:rPr>
        <w:t xml:space="preserve"> to </w:t>
      </w:r>
      <w:r w:rsidR="00BA00E2">
        <w:rPr>
          <w:rFonts w:eastAsia="Times New Roman"/>
          <w:color w:val="000000"/>
        </w:rPr>
        <w:lastRenderedPageBreak/>
        <w:t xml:space="preserve">publishers, which conduct critical peer review and work with authors of accepted manuscripts to prepare articles for commercial distribution. </w:t>
      </w:r>
      <w:r w:rsidR="00AE4C2C">
        <w:rPr>
          <w:rFonts w:eastAsia="Times New Roman"/>
          <w:color w:val="000000"/>
        </w:rPr>
        <w:t xml:space="preserve"> </w:t>
      </w:r>
      <w:r w:rsidR="00BA00E2">
        <w:rPr>
          <w:rFonts w:eastAsia="Times New Roman"/>
          <w:color w:val="000000"/>
        </w:rPr>
        <w:t>Unsurprisingly, postsecondary institutions are among the nation’s leading copyright consumers</w:t>
      </w:r>
      <w:r w:rsidR="00907736">
        <w:rPr>
          <w:rFonts w:eastAsia="Times New Roman"/>
          <w:color w:val="000000"/>
        </w:rPr>
        <w:t>, as well</w:t>
      </w:r>
      <w:r w:rsidR="00BA00E2">
        <w:rPr>
          <w:rFonts w:eastAsia="Times New Roman"/>
          <w:color w:val="000000"/>
        </w:rPr>
        <w:t>.  We reliably purchase and license billions of dollars of copyrighted works each year</w:t>
      </w:r>
      <w:r w:rsidR="00A35E62">
        <w:rPr>
          <w:rFonts w:eastAsia="Times New Roman"/>
          <w:color w:val="000000"/>
        </w:rPr>
        <w:t xml:space="preserve"> and </w:t>
      </w:r>
      <w:r w:rsidR="00651613">
        <w:rPr>
          <w:rFonts w:eastAsia="Times New Roman"/>
          <w:color w:val="000000"/>
        </w:rPr>
        <w:t>our</w:t>
      </w:r>
      <w:r w:rsidR="00BA00E2">
        <w:rPr>
          <w:rFonts w:eastAsia="Times New Roman"/>
          <w:color w:val="000000"/>
        </w:rPr>
        <w:t xml:space="preserve"> students</w:t>
      </w:r>
      <w:r w:rsidR="00B6410B">
        <w:rPr>
          <w:rFonts w:eastAsia="Times New Roman"/>
          <w:color w:val="000000"/>
        </w:rPr>
        <w:t xml:space="preserve">, too, </w:t>
      </w:r>
      <w:r w:rsidR="00BA00E2">
        <w:rPr>
          <w:rFonts w:eastAsia="Times New Roman"/>
          <w:color w:val="000000"/>
        </w:rPr>
        <w:t>annually purchase billions of dolla</w:t>
      </w:r>
      <w:r w:rsidR="00907736">
        <w:rPr>
          <w:rFonts w:eastAsia="Times New Roman"/>
          <w:color w:val="000000"/>
        </w:rPr>
        <w:t>rs of copyrighted works</w:t>
      </w:r>
      <w:r w:rsidR="00BA00E2">
        <w:rPr>
          <w:rFonts w:eastAsia="Times New Roman"/>
          <w:color w:val="000000"/>
        </w:rPr>
        <w:t xml:space="preserve">.  </w:t>
      </w:r>
    </w:p>
    <w:p w:rsidR="00FC2D8F" w:rsidRDefault="00801D1D" w:rsidP="00E87059">
      <w:pPr>
        <w:shd w:val="clear" w:color="auto" w:fill="FFFFFF"/>
        <w:spacing w:before="100" w:beforeAutospacing="1" w:after="240"/>
        <w:ind w:firstLine="720"/>
        <w:rPr>
          <w:rFonts w:eastAsia="Times New Roman"/>
        </w:rPr>
      </w:pPr>
      <w:r>
        <w:rPr>
          <w:rFonts w:eastAsia="Times New Roman"/>
        </w:rPr>
        <w:t xml:space="preserve">To provide a few </w:t>
      </w:r>
      <w:r w:rsidR="00A66606">
        <w:rPr>
          <w:rFonts w:eastAsia="Times New Roman"/>
        </w:rPr>
        <w:t xml:space="preserve">additional </w:t>
      </w:r>
      <w:r>
        <w:rPr>
          <w:rFonts w:eastAsia="Times New Roman"/>
        </w:rPr>
        <w:t xml:space="preserve">examples of </w:t>
      </w:r>
      <w:r w:rsidR="00D56F3E">
        <w:rPr>
          <w:rFonts w:eastAsia="Times New Roman"/>
        </w:rPr>
        <w:t xml:space="preserve">the </w:t>
      </w:r>
      <w:r w:rsidR="00CA578F">
        <w:rPr>
          <w:rFonts w:eastAsia="Times New Roman"/>
        </w:rPr>
        <w:t>intricate</w:t>
      </w:r>
      <w:r>
        <w:rPr>
          <w:rFonts w:eastAsia="Times New Roman"/>
        </w:rPr>
        <w:t xml:space="preserve"> relationship </w:t>
      </w:r>
      <w:r w:rsidR="00D56F3E">
        <w:rPr>
          <w:rFonts w:eastAsia="Times New Roman"/>
        </w:rPr>
        <w:t xml:space="preserve">that institutions of higher education have </w:t>
      </w:r>
      <w:r>
        <w:rPr>
          <w:rFonts w:eastAsia="Times New Roman"/>
        </w:rPr>
        <w:t>with copyright:</w:t>
      </w:r>
    </w:p>
    <w:p w:rsidR="00801D1D" w:rsidRPr="00B6242D" w:rsidRDefault="00B104A5" w:rsidP="00B6242D">
      <w:pPr>
        <w:pStyle w:val="ListParagraph"/>
        <w:numPr>
          <w:ilvl w:val="0"/>
          <w:numId w:val="2"/>
        </w:numPr>
        <w:shd w:val="clear" w:color="auto" w:fill="FFFFFF"/>
        <w:spacing w:before="100" w:beforeAutospacing="1" w:after="240"/>
        <w:rPr>
          <w:rFonts w:eastAsia="Times New Roman"/>
        </w:rPr>
      </w:pPr>
      <w:r>
        <w:rPr>
          <w:rFonts w:eastAsia="Times New Roman"/>
        </w:rPr>
        <w:t xml:space="preserve">University </w:t>
      </w:r>
      <w:r w:rsidRPr="00B6242D">
        <w:rPr>
          <w:rFonts w:eastAsia="Times New Roman"/>
        </w:rPr>
        <w:t>faculty</w:t>
      </w:r>
      <w:r w:rsidR="00B82258">
        <w:rPr>
          <w:rFonts w:eastAsia="Times New Roman"/>
          <w:color w:val="000000"/>
        </w:rPr>
        <w:t>—</w:t>
      </w:r>
      <w:r w:rsidRPr="00B6242D">
        <w:rPr>
          <w:rFonts w:eastAsia="Times New Roman"/>
        </w:rPr>
        <w:t>who are authors themselves</w:t>
      </w:r>
      <w:r w:rsidR="00B82258">
        <w:rPr>
          <w:rFonts w:eastAsia="Times New Roman"/>
          <w:color w:val="000000"/>
        </w:rPr>
        <w:t>—</w:t>
      </w:r>
      <w:r w:rsidRPr="00B6242D">
        <w:rPr>
          <w:rFonts w:eastAsia="Times New Roman"/>
        </w:rPr>
        <w:t xml:space="preserve">present and discuss copyrighted works in both analog and, increasingly, digital formats.  </w:t>
      </w:r>
      <w:r>
        <w:rPr>
          <w:rFonts w:eastAsia="Times New Roman"/>
        </w:rPr>
        <w:t>For example, as</w:t>
      </w:r>
      <w:r w:rsidRPr="00B6242D">
        <w:rPr>
          <w:rFonts w:eastAsia="Times New Roman"/>
        </w:rPr>
        <w:t xml:space="preserve"> a norm, faculty now teach using PowerPoint presentations</w:t>
      </w:r>
      <w:r>
        <w:rPr>
          <w:rFonts w:eastAsia="Times New Roman"/>
        </w:rPr>
        <w:t xml:space="preserve"> and comparable applications</w:t>
      </w:r>
      <w:r w:rsidRPr="00B6242D">
        <w:rPr>
          <w:rFonts w:eastAsia="Times New Roman"/>
        </w:rPr>
        <w:t xml:space="preserve"> and assign materials that are best accessible through digital means.  In addition to using </w:t>
      </w:r>
      <w:r>
        <w:rPr>
          <w:rFonts w:eastAsia="Times New Roman"/>
        </w:rPr>
        <w:t>such presentations</w:t>
      </w:r>
      <w:r w:rsidRPr="00B6242D">
        <w:rPr>
          <w:rFonts w:eastAsia="Times New Roman"/>
        </w:rPr>
        <w:t xml:space="preserve">, faculty </w:t>
      </w:r>
      <w:r>
        <w:rPr>
          <w:rFonts w:eastAsia="Times New Roman"/>
        </w:rPr>
        <w:t>regularly exploit the vast capacities of</w:t>
      </w:r>
      <w:r w:rsidRPr="00B6242D">
        <w:rPr>
          <w:rFonts w:eastAsia="Times New Roman"/>
        </w:rPr>
        <w:t xml:space="preserve"> the Internet, often accessing research collections held by museums, libraries</w:t>
      </w:r>
      <w:r>
        <w:rPr>
          <w:rFonts w:eastAsia="Times New Roman"/>
        </w:rPr>
        <w:t>,</w:t>
      </w:r>
      <w:r w:rsidRPr="00B6242D">
        <w:rPr>
          <w:rFonts w:eastAsia="Times New Roman"/>
        </w:rPr>
        <w:t xml:space="preserve"> and academic and research institutions worldwide in real time</w:t>
      </w:r>
      <w:r>
        <w:rPr>
          <w:rFonts w:eastAsia="Times New Roman"/>
        </w:rPr>
        <w:t>.  In today’s world, course management systems are at least as much a part of the collegiate classroom as the chalkboard.</w:t>
      </w:r>
      <w:r w:rsidR="00B6242D">
        <w:rPr>
          <w:rFonts w:eastAsia="Times New Roman"/>
        </w:rPr>
        <w:br/>
      </w:r>
    </w:p>
    <w:p w:rsidR="00801D1D" w:rsidRPr="00B6242D" w:rsidRDefault="00B104A5" w:rsidP="00B6242D">
      <w:pPr>
        <w:pStyle w:val="ListParagraph"/>
        <w:numPr>
          <w:ilvl w:val="0"/>
          <w:numId w:val="2"/>
        </w:numPr>
        <w:shd w:val="clear" w:color="auto" w:fill="FFFFFF"/>
        <w:spacing w:before="100" w:beforeAutospacing="1" w:after="240"/>
        <w:rPr>
          <w:rFonts w:eastAsia="Times New Roman"/>
        </w:rPr>
      </w:pPr>
      <w:r w:rsidRPr="00B6242D">
        <w:rPr>
          <w:rFonts w:eastAsia="Times New Roman"/>
        </w:rPr>
        <w:t>“Flipped classroom” experiences</w:t>
      </w:r>
      <w:r>
        <w:rPr>
          <w:rFonts w:eastAsia="Times New Roman"/>
        </w:rPr>
        <w:t>, which are a form of blended learning,</w:t>
      </w:r>
      <w:r w:rsidRPr="00B6242D">
        <w:rPr>
          <w:rFonts w:eastAsia="Times New Roman"/>
        </w:rPr>
        <w:t xml:space="preserve"> are becoming increasingly common</w:t>
      </w:r>
      <w:r>
        <w:rPr>
          <w:rFonts w:eastAsia="Times New Roman"/>
        </w:rPr>
        <w:t xml:space="preserve"> at American universities</w:t>
      </w:r>
      <w:r w:rsidRPr="00B6242D">
        <w:rPr>
          <w:rFonts w:eastAsia="Times New Roman"/>
        </w:rPr>
        <w:t xml:space="preserve">.  </w:t>
      </w:r>
      <w:r>
        <w:rPr>
          <w:rFonts w:eastAsia="Times New Roman"/>
        </w:rPr>
        <w:t xml:space="preserve">In the flipped classroom, the professor or instructor presents her lectures, slides, notes, and other handouts asynchronously through a course management system </w:t>
      </w:r>
      <w:r>
        <w:rPr>
          <w:rFonts w:eastAsia="Times New Roman"/>
          <w:i/>
        </w:rPr>
        <w:t>before</w:t>
      </w:r>
      <w:r>
        <w:rPr>
          <w:rFonts w:eastAsia="Times New Roman"/>
        </w:rPr>
        <w:t xml:space="preserve"> the students come to class.  </w:t>
      </w:r>
      <w:r w:rsidR="007A0BE6">
        <w:rPr>
          <w:rFonts w:eastAsia="Times New Roman"/>
        </w:rPr>
        <w:t>The</w:t>
      </w:r>
      <w:r>
        <w:rPr>
          <w:rFonts w:eastAsia="Times New Roman"/>
        </w:rPr>
        <w:t xml:space="preserve"> instructor </w:t>
      </w:r>
      <w:r w:rsidR="007A0BE6">
        <w:rPr>
          <w:rFonts w:eastAsia="Times New Roman"/>
        </w:rPr>
        <w:t xml:space="preserve">then </w:t>
      </w:r>
      <w:r>
        <w:rPr>
          <w:rFonts w:eastAsia="Times New Roman"/>
        </w:rPr>
        <w:t xml:space="preserve">can spend precious class time in a much more engaged interaction with students rather than lecturing to them.  </w:t>
      </w:r>
      <w:r w:rsidRPr="00B6242D">
        <w:rPr>
          <w:rFonts w:eastAsia="Times New Roman"/>
        </w:rPr>
        <w:t>Classroom activity may be recorded, providing students with opportunities to revisit material covered in live classroom sessions and supplement the more interactive, discussion-based live classroom experience.  These experiences also offer alternatives to students who, due to illness or other causes beyond their control, cannot attend the live classroom sessions.</w:t>
      </w:r>
      <w:r w:rsidR="00B6242D">
        <w:rPr>
          <w:rFonts w:eastAsia="Times New Roman"/>
        </w:rPr>
        <w:br/>
      </w:r>
    </w:p>
    <w:p w:rsidR="00FD3880" w:rsidRPr="00B6242D" w:rsidRDefault="000678B5" w:rsidP="00B6242D">
      <w:pPr>
        <w:pStyle w:val="ListParagraph"/>
        <w:numPr>
          <w:ilvl w:val="0"/>
          <w:numId w:val="2"/>
        </w:numPr>
        <w:shd w:val="clear" w:color="auto" w:fill="FFFFFF"/>
        <w:spacing w:before="100" w:beforeAutospacing="1" w:after="240"/>
        <w:rPr>
          <w:rFonts w:eastAsia="Times New Roman"/>
        </w:rPr>
      </w:pPr>
      <w:r w:rsidRPr="00B6242D">
        <w:rPr>
          <w:rFonts w:eastAsia="Times New Roman"/>
        </w:rPr>
        <w:t xml:space="preserve">Faculty collaborate within and across institutions of higher education, domestically and internationally, on innovative projects that are difficult to situate within the traditional contours of intellectual property.  For example, </w:t>
      </w:r>
      <w:r>
        <w:rPr>
          <w:rFonts w:eastAsia="Times New Roman"/>
        </w:rPr>
        <w:t>full-</w:t>
      </w:r>
      <w:r w:rsidRPr="00B6242D">
        <w:rPr>
          <w:rFonts w:eastAsia="Times New Roman"/>
        </w:rPr>
        <w:t xml:space="preserve">text searching and </w:t>
      </w:r>
      <w:r>
        <w:rPr>
          <w:rFonts w:eastAsia="Times New Roman"/>
        </w:rPr>
        <w:t xml:space="preserve">deep and broad </w:t>
      </w:r>
      <w:r w:rsidRPr="00B6242D">
        <w:rPr>
          <w:rFonts w:eastAsia="Times New Roman"/>
        </w:rPr>
        <w:t xml:space="preserve">data mining have opened up unprecedented opportunities for </w:t>
      </w:r>
      <w:r>
        <w:rPr>
          <w:rFonts w:eastAsia="Times New Roman"/>
        </w:rPr>
        <w:t>innovative</w:t>
      </w:r>
      <w:r w:rsidRPr="00B6242D">
        <w:rPr>
          <w:rFonts w:eastAsia="Times New Roman"/>
        </w:rPr>
        <w:t xml:space="preserve"> scholarship in many different fields, including the biological and physical sciences, the humanities, </w:t>
      </w:r>
      <w:r>
        <w:rPr>
          <w:rFonts w:eastAsia="Times New Roman"/>
        </w:rPr>
        <w:t xml:space="preserve">social sciences, </w:t>
      </w:r>
      <w:r w:rsidRPr="00B6242D">
        <w:rPr>
          <w:rFonts w:eastAsia="Times New Roman"/>
        </w:rPr>
        <w:t>law, etc.</w:t>
      </w:r>
      <w:r>
        <w:rPr>
          <w:rFonts w:eastAsia="Times New Roman"/>
        </w:rPr>
        <w:t xml:space="preserve">  Researchers from scores of postsecondary institutions across the world are working collaboratively and in parallel to explore the complexities of the human genome.  Because access to the night sky and from certain vantage points are geographically bound, much astronomical research happens through networks of scholars.  Similar synergistic efforts take place across disciplines such as medicine, volcanology, public health and infectious disease, environmental studies, journalism, public policy, physics, and archaeology, to name but a few.  </w:t>
      </w:r>
      <w:r w:rsidR="00B6242D">
        <w:rPr>
          <w:rFonts w:eastAsia="Times New Roman"/>
        </w:rPr>
        <w:br/>
      </w:r>
    </w:p>
    <w:p w:rsidR="000C76E4" w:rsidRPr="00B6242D" w:rsidRDefault="005C634A" w:rsidP="00B6242D">
      <w:pPr>
        <w:pStyle w:val="ListParagraph"/>
        <w:numPr>
          <w:ilvl w:val="0"/>
          <w:numId w:val="2"/>
        </w:numPr>
        <w:shd w:val="clear" w:color="auto" w:fill="FFFFFF"/>
        <w:spacing w:before="100" w:beforeAutospacing="1" w:after="240"/>
        <w:rPr>
          <w:rFonts w:eastAsia="Times New Roman"/>
        </w:rPr>
      </w:pPr>
      <w:r w:rsidRPr="00B6242D">
        <w:rPr>
          <w:rFonts w:eastAsia="Times New Roman"/>
        </w:rPr>
        <w:t xml:space="preserve">Students </w:t>
      </w:r>
      <w:r w:rsidR="000C76E4" w:rsidRPr="00B6242D">
        <w:rPr>
          <w:rFonts w:eastAsia="Times New Roman"/>
        </w:rPr>
        <w:t xml:space="preserve">commonly </w:t>
      </w:r>
      <w:r w:rsidRPr="00B6242D">
        <w:rPr>
          <w:rFonts w:eastAsia="Times New Roman"/>
        </w:rPr>
        <w:t xml:space="preserve">need to access </w:t>
      </w:r>
      <w:r w:rsidR="000C76E4" w:rsidRPr="00B6242D">
        <w:rPr>
          <w:rFonts w:eastAsia="Times New Roman"/>
        </w:rPr>
        <w:t xml:space="preserve">copyrighted </w:t>
      </w:r>
      <w:r w:rsidRPr="00B6242D">
        <w:rPr>
          <w:rFonts w:eastAsia="Times New Roman"/>
        </w:rPr>
        <w:t>content, including audio-visual content, as a central component o</w:t>
      </w:r>
      <w:r w:rsidR="000C76E4" w:rsidRPr="00B6242D">
        <w:rPr>
          <w:rFonts w:eastAsia="Times New Roman"/>
        </w:rPr>
        <w:t>f their edu</w:t>
      </w:r>
      <w:r w:rsidR="00A70C03">
        <w:rPr>
          <w:rFonts w:eastAsia="Times New Roman"/>
        </w:rPr>
        <w:t xml:space="preserve">cational experiences.  Students </w:t>
      </w:r>
      <w:r w:rsidR="000C76E4" w:rsidRPr="00B6242D">
        <w:rPr>
          <w:rFonts w:eastAsia="Times New Roman"/>
        </w:rPr>
        <w:t>also yearn to innovate; for example, imagine the student who wishes for her senior project to explain the role of children in 20</w:t>
      </w:r>
      <w:r w:rsidR="000C76E4" w:rsidRPr="00B6242D">
        <w:rPr>
          <w:rFonts w:eastAsia="Times New Roman"/>
          <w:vertAlign w:val="superscript"/>
        </w:rPr>
        <w:t>th</w:t>
      </w:r>
      <w:r w:rsidR="000C76E4" w:rsidRPr="00B6242D">
        <w:rPr>
          <w:rFonts w:eastAsia="Times New Roman"/>
        </w:rPr>
        <w:t xml:space="preserve"> century literature by creating an audiovisual presentation, which might include music, performance, and images to illustrate themes and provide critical examples. </w:t>
      </w:r>
      <w:r w:rsidR="00CA578F">
        <w:rPr>
          <w:rFonts w:eastAsia="Times New Roman"/>
        </w:rPr>
        <w:t xml:space="preserve"> The </w:t>
      </w:r>
      <w:r w:rsidR="00D16D5B">
        <w:rPr>
          <w:rFonts w:eastAsia="Times New Roman"/>
        </w:rPr>
        <w:t xml:space="preserve">doctoral </w:t>
      </w:r>
      <w:r w:rsidR="00CA578F">
        <w:rPr>
          <w:rFonts w:eastAsia="Times New Roman"/>
        </w:rPr>
        <w:t>dissertations of today are increasingly dynamic, interactive tools for imparting knowledge</w:t>
      </w:r>
      <w:r w:rsidR="008C5306">
        <w:rPr>
          <w:rFonts w:eastAsia="Times New Roman"/>
        </w:rPr>
        <w:t>.</w:t>
      </w:r>
      <w:r w:rsidR="00B6242D">
        <w:rPr>
          <w:rFonts w:eastAsia="Times New Roman"/>
        </w:rPr>
        <w:br/>
      </w:r>
    </w:p>
    <w:p w:rsidR="000C76E4" w:rsidRPr="00B6242D" w:rsidRDefault="00C1567F" w:rsidP="00B6242D">
      <w:pPr>
        <w:pStyle w:val="ListParagraph"/>
        <w:numPr>
          <w:ilvl w:val="0"/>
          <w:numId w:val="2"/>
        </w:numPr>
        <w:shd w:val="clear" w:color="auto" w:fill="FFFFFF"/>
        <w:spacing w:before="100" w:beforeAutospacing="1" w:after="240"/>
        <w:rPr>
          <w:rFonts w:eastAsia="Times New Roman"/>
        </w:rPr>
      </w:pPr>
      <w:r w:rsidRPr="00B6242D">
        <w:rPr>
          <w:rFonts w:eastAsia="Times New Roman"/>
        </w:rPr>
        <w:t xml:space="preserve">Universities also support a range of internal and affiliated enterprises that both generate and </w:t>
      </w:r>
      <w:r w:rsidR="00F1454D" w:rsidRPr="00B6242D">
        <w:rPr>
          <w:rFonts w:eastAsia="Times New Roman"/>
        </w:rPr>
        <w:t>depend upon</w:t>
      </w:r>
      <w:r w:rsidR="00E8577B" w:rsidRPr="00B6242D">
        <w:rPr>
          <w:rFonts w:eastAsia="Times New Roman"/>
        </w:rPr>
        <w:t xml:space="preserve"> use of</w:t>
      </w:r>
      <w:r w:rsidRPr="00B6242D">
        <w:rPr>
          <w:rFonts w:eastAsia="Times New Roman"/>
        </w:rPr>
        <w:t xml:space="preserve"> copyrighted works, </w:t>
      </w:r>
      <w:r w:rsidR="00E1188B">
        <w:rPr>
          <w:rFonts w:eastAsia="Times New Roman"/>
        </w:rPr>
        <w:t>including</w:t>
      </w:r>
      <w:r w:rsidR="00ED4982">
        <w:rPr>
          <w:rFonts w:eastAsia="Times New Roman"/>
        </w:rPr>
        <w:t xml:space="preserve"> </w:t>
      </w:r>
      <w:r w:rsidR="00DE3A27">
        <w:rPr>
          <w:rFonts w:eastAsia="Times New Roman"/>
        </w:rPr>
        <w:t xml:space="preserve">research libraries, </w:t>
      </w:r>
      <w:r w:rsidR="00271FEE">
        <w:rPr>
          <w:rFonts w:eastAsia="Times New Roman"/>
        </w:rPr>
        <w:t xml:space="preserve">archives, </w:t>
      </w:r>
      <w:r w:rsidR="00DE3A27">
        <w:rPr>
          <w:rFonts w:eastAsia="Times New Roman"/>
        </w:rPr>
        <w:t xml:space="preserve">museums, and </w:t>
      </w:r>
      <w:r w:rsidR="00ED4982">
        <w:rPr>
          <w:rFonts w:eastAsia="Times New Roman"/>
        </w:rPr>
        <w:t>academic presses</w:t>
      </w:r>
      <w:r w:rsidRPr="00B6242D">
        <w:rPr>
          <w:rFonts w:eastAsia="Times New Roman"/>
        </w:rPr>
        <w:t>.</w:t>
      </w:r>
      <w:r w:rsidR="008C5306">
        <w:rPr>
          <w:rFonts w:eastAsia="Times New Roman"/>
        </w:rPr>
        <w:t xml:space="preserve">  Universities operate television and radio stations, satellites, cable networks, Internet nodes, and a host of other communication hubs that transmit and receive copyrighted communications.  </w:t>
      </w:r>
      <w:r w:rsidR="008C5306">
        <w:rPr>
          <w:rFonts w:eastAsia="Times New Roman"/>
        </w:rPr>
        <w:lastRenderedPageBreak/>
        <w:t>They have music studios, film and video production teams, animation labs, virtual reality labs, 3</w:t>
      </w:r>
      <w:r w:rsidR="00B91261">
        <w:rPr>
          <w:rFonts w:eastAsia="Times New Roman"/>
        </w:rPr>
        <w:t>D</w:t>
      </w:r>
      <w:r w:rsidR="008C5306">
        <w:rPr>
          <w:rFonts w:eastAsia="Times New Roman"/>
        </w:rPr>
        <w:t xml:space="preserve"> printers, and art studios that foster every imaginable expressive medium. </w:t>
      </w:r>
    </w:p>
    <w:p w:rsidR="00EB5B17" w:rsidRDefault="00BD5B34" w:rsidP="00B82A03">
      <w:pPr>
        <w:shd w:val="clear" w:color="auto" w:fill="FFFFFF"/>
        <w:spacing w:before="100" w:beforeAutospacing="1" w:after="240"/>
        <w:ind w:firstLine="720"/>
        <w:rPr>
          <w:rFonts w:eastAsia="Times New Roman"/>
        </w:rPr>
      </w:pPr>
      <w:r>
        <w:rPr>
          <w:rFonts w:eastAsia="Times New Roman"/>
          <w:color w:val="000000"/>
        </w:rPr>
        <w:t>Copyright</w:t>
      </w:r>
      <w:r w:rsidR="00F029AC" w:rsidRPr="00720EB9">
        <w:rPr>
          <w:rFonts w:eastAsia="Times New Roman"/>
          <w:color w:val="000000"/>
        </w:rPr>
        <w:t xml:space="preserve"> supports the fundamental mission of colleges and universities to create and disseminate new knowledge and understanding through teaching, research</w:t>
      </w:r>
      <w:r w:rsidR="00EB5B17">
        <w:rPr>
          <w:rFonts w:eastAsia="Times New Roman"/>
          <w:color w:val="000000"/>
        </w:rPr>
        <w:t>,</w:t>
      </w:r>
      <w:r w:rsidR="00F029AC" w:rsidRPr="00720EB9">
        <w:rPr>
          <w:rFonts w:eastAsia="Times New Roman"/>
          <w:color w:val="000000"/>
        </w:rPr>
        <w:t xml:space="preserve"> and scholarship.  C</w:t>
      </w:r>
      <w:r w:rsidR="001B2766">
        <w:rPr>
          <w:rFonts w:eastAsia="Times New Roman"/>
          <w:color w:val="000000"/>
        </w:rPr>
        <w:t>opyright does this</w:t>
      </w:r>
      <w:r w:rsidR="00FE5630">
        <w:rPr>
          <w:rFonts w:eastAsia="Times New Roman"/>
          <w:color w:val="000000"/>
        </w:rPr>
        <w:t xml:space="preserve"> not only</w:t>
      </w:r>
      <w:r w:rsidR="001B2766">
        <w:rPr>
          <w:rFonts w:eastAsia="Times New Roman"/>
          <w:color w:val="000000"/>
        </w:rPr>
        <w:t xml:space="preserve"> by </w:t>
      </w:r>
      <w:r w:rsidR="00F029AC" w:rsidRPr="00720EB9">
        <w:rPr>
          <w:rFonts w:eastAsia="Times New Roman"/>
          <w:color w:val="000000"/>
        </w:rPr>
        <w:t xml:space="preserve">providing incentives for the creation of new works </w:t>
      </w:r>
      <w:r w:rsidR="00FE5630">
        <w:rPr>
          <w:rFonts w:eastAsia="Times New Roman"/>
          <w:color w:val="000000"/>
        </w:rPr>
        <w:t>through the grant of</w:t>
      </w:r>
      <w:r w:rsidR="00F029AC" w:rsidRPr="00720EB9">
        <w:rPr>
          <w:rFonts w:eastAsia="Times New Roman"/>
          <w:color w:val="000000"/>
        </w:rPr>
        <w:t xml:space="preserve"> </w:t>
      </w:r>
      <w:r w:rsidR="006D5262">
        <w:rPr>
          <w:rFonts w:eastAsia="Times New Roman"/>
          <w:color w:val="000000"/>
        </w:rPr>
        <w:t xml:space="preserve">proprietary </w:t>
      </w:r>
      <w:r w:rsidR="00F029AC" w:rsidRPr="00720EB9">
        <w:rPr>
          <w:rFonts w:eastAsia="Times New Roman"/>
          <w:color w:val="000000"/>
        </w:rPr>
        <w:t xml:space="preserve">rights to copyright </w:t>
      </w:r>
      <w:r w:rsidR="00EB5B17">
        <w:rPr>
          <w:rFonts w:eastAsia="Times New Roman"/>
          <w:color w:val="000000"/>
        </w:rPr>
        <w:t>holders</w:t>
      </w:r>
      <w:r w:rsidR="009C7444">
        <w:rPr>
          <w:rFonts w:eastAsia="Times New Roman"/>
          <w:color w:val="000000"/>
        </w:rPr>
        <w:t xml:space="preserve">, </w:t>
      </w:r>
      <w:r w:rsidR="001B2766">
        <w:rPr>
          <w:rFonts w:eastAsia="Times New Roman"/>
          <w:color w:val="000000"/>
        </w:rPr>
        <w:t xml:space="preserve">but </w:t>
      </w:r>
      <w:r w:rsidR="00A35BFD">
        <w:rPr>
          <w:rFonts w:eastAsia="Times New Roman"/>
          <w:color w:val="000000"/>
        </w:rPr>
        <w:t>also</w:t>
      </w:r>
      <w:r w:rsidR="000968AD">
        <w:rPr>
          <w:rFonts w:eastAsia="Times New Roman"/>
          <w:color w:val="000000"/>
        </w:rPr>
        <w:t>—</w:t>
      </w:r>
      <w:r w:rsidR="001B2766">
        <w:rPr>
          <w:rFonts w:eastAsia="Times New Roman"/>
          <w:color w:val="000000"/>
        </w:rPr>
        <w:t>equally critically</w:t>
      </w:r>
      <w:r w:rsidR="000968AD">
        <w:rPr>
          <w:rFonts w:eastAsia="Times New Roman"/>
          <w:color w:val="000000"/>
        </w:rPr>
        <w:t>—</w:t>
      </w:r>
      <w:r w:rsidR="00A35BFD">
        <w:rPr>
          <w:rFonts w:eastAsia="Times New Roman"/>
          <w:color w:val="000000"/>
        </w:rPr>
        <w:t xml:space="preserve">by </w:t>
      </w:r>
      <w:r w:rsidR="00F029AC" w:rsidRPr="00720EB9">
        <w:rPr>
          <w:rFonts w:eastAsia="Times New Roman"/>
          <w:color w:val="000000"/>
        </w:rPr>
        <w:t xml:space="preserve">carefully </w:t>
      </w:r>
      <w:r w:rsidR="00CD6BDE">
        <w:rPr>
          <w:rFonts w:eastAsia="Times New Roman"/>
          <w:color w:val="000000"/>
        </w:rPr>
        <w:t>limiting</w:t>
      </w:r>
      <w:r w:rsidR="00F029AC" w:rsidRPr="00720EB9">
        <w:rPr>
          <w:rFonts w:eastAsia="Times New Roman"/>
          <w:color w:val="000000"/>
        </w:rPr>
        <w:t xml:space="preserve"> those rights in order to facilitate public access to, and use of, creative works.</w:t>
      </w:r>
      <w:r w:rsidR="00765BBB">
        <w:rPr>
          <w:rStyle w:val="FootnoteReference"/>
          <w:rFonts w:eastAsia="Times New Roman"/>
          <w:color w:val="000000"/>
        </w:rPr>
        <w:footnoteReference w:id="1"/>
      </w:r>
      <w:r w:rsidR="00A14CD7">
        <w:rPr>
          <w:rFonts w:eastAsia="Times New Roman"/>
          <w:color w:val="000000"/>
        </w:rPr>
        <w:t xml:space="preserve">  </w:t>
      </w:r>
    </w:p>
    <w:p w:rsidR="00C04787" w:rsidRPr="00EB5B17" w:rsidRDefault="00C04787" w:rsidP="00C04787">
      <w:pPr>
        <w:rPr>
          <w:b/>
          <w:u w:val="single"/>
        </w:rPr>
      </w:pPr>
      <w:r w:rsidRPr="0046779A">
        <w:rPr>
          <w:b/>
        </w:rPr>
        <w:t xml:space="preserve">  </w:t>
      </w:r>
      <w:r w:rsidRPr="00EB5B17">
        <w:rPr>
          <w:b/>
          <w:u w:val="single"/>
        </w:rPr>
        <w:t xml:space="preserve">Maintain the </w:t>
      </w:r>
      <w:r>
        <w:rPr>
          <w:b/>
          <w:u w:val="single"/>
        </w:rPr>
        <w:t>B</w:t>
      </w:r>
      <w:r w:rsidRPr="00EB5B17">
        <w:rPr>
          <w:b/>
          <w:u w:val="single"/>
        </w:rPr>
        <w:t xml:space="preserve">asic </w:t>
      </w:r>
      <w:r>
        <w:rPr>
          <w:b/>
          <w:i/>
          <w:u w:val="single"/>
        </w:rPr>
        <w:t>S</w:t>
      </w:r>
      <w:r w:rsidRPr="00EB5B17">
        <w:rPr>
          <w:b/>
          <w:i/>
          <w:u w:val="single"/>
        </w:rPr>
        <w:t>tructure</w:t>
      </w:r>
      <w:r>
        <w:rPr>
          <w:b/>
          <w:u w:val="single"/>
        </w:rPr>
        <w:t xml:space="preserve"> of Rights in the Copyright Act</w:t>
      </w:r>
    </w:p>
    <w:p w:rsidR="00C04787" w:rsidRDefault="00C04787" w:rsidP="00C04787"/>
    <w:p w:rsidR="00C04787" w:rsidRDefault="00C04787" w:rsidP="00C04787">
      <w:pPr>
        <w:ind w:firstLine="720"/>
      </w:pPr>
      <w:r>
        <w:t xml:space="preserve">First, as an overarching matter, because many sectors of society, including the academy, rely on how the Copyright Act structures the balance of rights, </w:t>
      </w:r>
      <w:r w:rsidR="007326C2">
        <w:t xml:space="preserve">the higher education associations </w:t>
      </w:r>
      <w:r w:rsidR="006D5262">
        <w:t>believe</w:t>
      </w:r>
      <w:r w:rsidR="007326C2">
        <w:t xml:space="preserve"> that </w:t>
      </w:r>
      <w:r>
        <w:t xml:space="preserve">any endeavor to update, amend, or even tweak the Copyright Act should not disrupt the basic structure of rights.  This structure has three connected pillars: a) the rights of copyright holders, b) fair use, and c) other </w:t>
      </w:r>
      <w:r w:rsidR="008E4633">
        <w:t xml:space="preserve">limitations supporting additional public </w:t>
      </w:r>
      <w:r>
        <w:t xml:space="preserve">uses.  This framework has been extraordinarily successful.  Changes to the relationship among these grounding elements would destabilize the </w:t>
      </w:r>
      <w:r w:rsidR="00853F34">
        <w:t xml:space="preserve">higher education </w:t>
      </w:r>
      <w:r>
        <w:t>ecosystem</w:t>
      </w:r>
      <w:r w:rsidR="00A84C65">
        <w:t>.</w:t>
      </w:r>
    </w:p>
    <w:p w:rsidR="00C04787" w:rsidRDefault="00C04787" w:rsidP="00C04787"/>
    <w:p w:rsidR="00C04787" w:rsidRDefault="00367D2E" w:rsidP="00F45646">
      <w:pPr>
        <w:ind w:firstLine="720"/>
      </w:pPr>
      <w:r>
        <w:t xml:space="preserve">The first pillar, the </w:t>
      </w:r>
      <w:r w:rsidR="00C04787">
        <w:t>rights of copyright holders</w:t>
      </w:r>
      <w:r w:rsidR="00706CE2">
        <w:t>,</w:t>
      </w:r>
      <w:r w:rsidR="00C04787">
        <w:t xml:space="preserve"> </w:t>
      </w:r>
      <w:r w:rsidR="00B82D8B">
        <w:t xml:space="preserve">is </w:t>
      </w:r>
      <w:r w:rsidR="00C04787">
        <w:t>currently spelled out in §§106 and 106A.</w:t>
      </w:r>
      <w:r w:rsidR="000A1F8A">
        <w:rPr>
          <w:rStyle w:val="FootnoteReference"/>
        </w:rPr>
        <w:footnoteReference w:id="2"/>
      </w:r>
      <w:r w:rsidR="00C04787">
        <w:t xml:space="preserve">  These valuable rights</w:t>
      </w:r>
      <w:r w:rsidR="000A1F8A">
        <w:t xml:space="preserve"> </w:t>
      </w:r>
      <w:r w:rsidR="00C04787">
        <w:t>are subject to and limited by the rights and uses authorized for the public in §§107-122.</w:t>
      </w:r>
      <w:r w:rsidR="00813ADC">
        <w:t xml:space="preserve">  </w:t>
      </w:r>
      <w:r w:rsidR="003C79E2">
        <w:t>This</w:t>
      </w:r>
      <w:r w:rsidR="00C04787">
        <w:t xml:space="preserve"> structure balances the constitutional speech and progress objectives of the public with the copyright holder</w:t>
      </w:r>
      <w:r w:rsidR="00A005ED">
        <w:t xml:space="preserve">s’ </w:t>
      </w:r>
      <w:r w:rsidR="00C04787">
        <w:t xml:space="preserve">opportunities to make and to authorize important uses of their copyrighted works.  </w:t>
      </w:r>
    </w:p>
    <w:p w:rsidR="00C04787" w:rsidRDefault="00C04787" w:rsidP="00C04787">
      <w:pPr>
        <w:ind w:left="720"/>
      </w:pPr>
    </w:p>
    <w:p w:rsidR="00C04787" w:rsidRDefault="00C04787" w:rsidP="00706ED3">
      <w:pPr>
        <w:ind w:firstLine="720"/>
      </w:pPr>
      <w:r>
        <w:t>The public’s fair use rights (§107)</w:t>
      </w:r>
      <w:r w:rsidR="00813ADC">
        <w:t>, the second pillar</w:t>
      </w:r>
      <w:r w:rsidR="00E2387E">
        <w:t xml:space="preserve"> of copyright’s structure</w:t>
      </w:r>
      <w:r w:rsidR="00813ADC">
        <w:t>,</w:t>
      </w:r>
      <w:r>
        <w:t xml:space="preserve"> stand out among the other limitations on a copyright holder’s rights, because the flexibility built into fair use enables copyright to achieve </w:t>
      </w:r>
      <w:r w:rsidR="00CC579A">
        <w:t>its constitutional objectives.  C</w:t>
      </w:r>
      <w:r>
        <w:t xml:space="preserve">ourts can ensure that the public has sufficient uses so as not to transgress the First Amendment </w:t>
      </w:r>
      <w:r w:rsidR="00F9142D">
        <w:t>and</w:t>
      </w:r>
      <w:r>
        <w:t xml:space="preserve">, at the same time, </w:t>
      </w:r>
      <w:r w:rsidR="00F9142D">
        <w:t>enable</w:t>
      </w:r>
      <w:r>
        <w:t xml:space="preserve"> copyright holders to receive their benefits in this bargain.  Fair use </w:t>
      </w:r>
      <w:r w:rsidR="002F14DA">
        <w:t>allows</w:t>
      </w:r>
      <w:r>
        <w:t xml:space="preserve"> the </w:t>
      </w:r>
      <w:r w:rsidR="006E1F3B">
        <w:t>uncertainties</w:t>
      </w:r>
      <w:r>
        <w:t xml:space="preserve"> that emerge from new uses, new technologies, or new business models to be addressed in a manner that achieves copyright’s constitutional purpose.  </w:t>
      </w:r>
    </w:p>
    <w:p w:rsidR="00C04787" w:rsidRDefault="00C04787" w:rsidP="00C04787">
      <w:pPr>
        <w:ind w:left="720"/>
      </w:pPr>
    </w:p>
    <w:p w:rsidR="00C04787" w:rsidRDefault="00C04787" w:rsidP="00706ED3">
      <w:pPr>
        <w:ind w:firstLine="720"/>
      </w:pPr>
      <w:r>
        <w:t xml:space="preserve">The </w:t>
      </w:r>
      <w:r w:rsidR="005C2F8B">
        <w:t xml:space="preserve">additional </w:t>
      </w:r>
      <w:r>
        <w:t xml:space="preserve">rights and uses (§§108-122) </w:t>
      </w:r>
      <w:r w:rsidR="005C2F8B">
        <w:t xml:space="preserve">of the third pillar </w:t>
      </w:r>
      <w:r>
        <w:t xml:space="preserve">have a complementary relationship with fair use.  Those that expand upon fair use (e.g., the compulsory license rights in §115) enable the public to make important uses that would likely fall outside fair use.  </w:t>
      </w:r>
      <w:r w:rsidR="00BE7CB5">
        <w:t>Others</w:t>
      </w:r>
      <w:r>
        <w:t xml:space="preserve"> (e.g., reproduction rights for libraries and archives in §108) enable the public to apply simpler metrics (than the sometimes unpredictable four-factor test</w:t>
      </w:r>
      <w:r w:rsidR="00E55882">
        <w:t xml:space="preserve"> of fair use</w:t>
      </w:r>
      <w:r>
        <w:t xml:space="preserve">) to make </w:t>
      </w:r>
      <w:r w:rsidR="00AE2137">
        <w:t>appropriate uses of copyrighted works</w:t>
      </w:r>
      <w:r>
        <w:t>.  Through this pillar</w:t>
      </w:r>
      <w:r w:rsidR="005A6801">
        <w:t>,</w:t>
      </w:r>
      <w:r>
        <w:t xml:space="preserve"> Congress has been able to foster uses most beneficial to the pub</w:t>
      </w:r>
      <w:r w:rsidR="00FC3A11">
        <w:t>l</w:t>
      </w:r>
      <w:r>
        <w:t xml:space="preserve">ic without hindering the flexibility necessary for fair use.  </w:t>
      </w:r>
    </w:p>
    <w:p w:rsidR="00C04787" w:rsidRDefault="00C04787" w:rsidP="00C04787"/>
    <w:p w:rsidR="00C04787" w:rsidRPr="00FC30DB" w:rsidRDefault="00E96DF9" w:rsidP="00FC30DB">
      <w:pPr>
        <w:ind w:firstLine="720"/>
      </w:pPr>
      <w:r>
        <w:t xml:space="preserve">Although </w:t>
      </w:r>
      <w:r w:rsidR="00C04787">
        <w:t xml:space="preserve">a changing world may </w:t>
      </w:r>
      <w:r w:rsidR="00471E58">
        <w:t xml:space="preserve">indeed </w:t>
      </w:r>
      <w:r w:rsidR="00C04787">
        <w:t xml:space="preserve">warrant new provisions or adjustments to the Act, these modifications should not disrupt the time-tested structure that carefully balances the copyright holder’s rights with limitations </w:t>
      </w:r>
      <w:r w:rsidR="005E30D6">
        <w:t>that</w:t>
      </w:r>
      <w:r w:rsidR="00C04787">
        <w:t xml:space="preserve"> authorize rights and uses for the public.  </w:t>
      </w:r>
    </w:p>
    <w:p w:rsidR="00002FF9" w:rsidRPr="00F1374C" w:rsidRDefault="005E55A2" w:rsidP="00ED4B45">
      <w:pPr>
        <w:shd w:val="clear" w:color="auto" w:fill="FFFFFF"/>
        <w:spacing w:before="100" w:beforeAutospacing="1" w:after="240"/>
        <w:ind w:firstLine="360"/>
        <w:rPr>
          <w:rFonts w:eastAsia="Times New Roman"/>
          <w:b/>
          <w:color w:val="000000"/>
          <w:u w:val="single"/>
        </w:rPr>
      </w:pPr>
      <w:r w:rsidRPr="00F1374C">
        <w:rPr>
          <w:rFonts w:eastAsia="Times New Roman"/>
          <w:b/>
          <w:color w:val="000000"/>
          <w:u w:val="single"/>
        </w:rPr>
        <w:lastRenderedPageBreak/>
        <w:t>Fair Use</w:t>
      </w:r>
    </w:p>
    <w:p w:rsidR="00F43641" w:rsidRDefault="00AF2C01" w:rsidP="00E87059">
      <w:pPr>
        <w:shd w:val="clear" w:color="auto" w:fill="FFFFFF"/>
        <w:spacing w:before="100" w:beforeAutospacing="1" w:after="240"/>
        <w:ind w:firstLine="720"/>
        <w:rPr>
          <w:rFonts w:eastAsia="Times New Roman"/>
        </w:rPr>
      </w:pPr>
      <w:r>
        <w:rPr>
          <w:rFonts w:eastAsia="Times New Roman"/>
          <w:color w:val="000000"/>
        </w:rPr>
        <w:t xml:space="preserve">The fair use provisions of </w:t>
      </w:r>
      <w:r>
        <w:t>§107 permit the use of copyrighted works without permission or payment under certain circumstances.  Fair use</w:t>
      </w:r>
      <w:r>
        <w:rPr>
          <w:rFonts w:eastAsia="Times New Roman"/>
          <w:color w:val="000000"/>
        </w:rPr>
        <w:t xml:space="preserve"> is a necessary means of</w:t>
      </w:r>
      <w:r>
        <w:rPr>
          <w:rFonts w:eastAsia="Times New Roman"/>
        </w:rPr>
        <w:t xml:space="preserve"> 1) </w:t>
      </w:r>
      <w:r w:rsidRPr="000E5AF5">
        <w:rPr>
          <w:rFonts w:eastAsia="Times New Roman"/>
        </w:rPr>
        <w:t>ensuring that copyright law does not obstruct the very learni</w:t>
      </w:r>
      <w:r>
        <w:rPr>
          <w:rFonts w:eastAsia="Times New Roman"/>
        </w:rPr>
        <w:t xml:space="preserve">ng that it should promote; 2) </w:t>
      </w:r>
      <w:r w:rsidRPr="000E5AF5">
        <w:rPr>
          <w:rFonts w:eastAsia="Times New Roman"/>
        </w:rPr>
        <w:t>promotin</w:t>
      </w:r>
      <w:r>
        <w:rPr>
          <w:rFonts w:eastAsia="Times New Roman"/>
        </w:rPr>
        <w:t>g the public interest; and 3)</w:t>
      </w:r>
      <w:r w:rsidRPr="000E5AF5">
        <w:rPr>
          <w:rFonts w:eastAsia="Times New Roman"/>
        </w:rPr>
        <w:t xml:space="preserve"> securing First Amendment rights. ​​</w:t>
      </w:r>
      <w:r>
        <w:rPr>
          <w:rFonts w:eastAsia="Times New Roman"/>
        </w:rPr>
        <w:t xml:space="preserve"> In fact, the very mission of American higher education—to expand and disseminate knowledge and understanding through education, research, and scholarship, and to foster public service—depends on the fair use right, notwithstanding the uncertainty that sometimes accompanies reliance on it</w:t>
      </w:r>
      <w:r w:rsidR="00E634EA">
        <w:rPr>
          <w:rFonts w:eastAsia="Times New Roman"/>
        </w:rPr>
        <w:t>.</w:t>
      </w:r>
      <w:r w:rsidR="003E59CF">
        <w:rPr>
          <w:rStyle w:val="FootnoteReference"/>
          <w:rFonts w:eastAsia="Times New Roman"/>
        </w:rPr>
        <w:footnoteReference w:id="3"/>
      </w:r>
      <w:r w:rsidR="0029775E">
        <w:rPr>
          <w:rFonts w:eastAsia="Times New Roman"/>
        </w:rPr>
        <w:t xml:space="preserve">  Accordingly, the </w:t>
      </w:r>
      <w:r w:rsidR="00873D7A">
        <w:rPr>
          <w:rFonts w:eastAsia="Times New Roman"/>
        </w:rPr>
        <w:t xml:space="preserve">higher education associations </w:t>
      </w:r>
      <w:r w:rsidR="0029775E">
        <w:rPr>
          <w:rFonts w:eastAsia="Times New Roman"/>
        </w:rPr>
        <w:t xml:space="preserve">listed above strongly support the continued viability of flexible fair use </w:t>
      </w:r>
      <w:r w:rsidR="003D1551">
        <w:rPr>
          <w:rFonts w:eastAsia="Times New Roman"/>
        </w:rPr>
        <w:t>as a bedrock principle of U.S. copyright law</w:t>
      </w:r>
      <w:r w:rsidR="0029775E">
        <w:rPr>
          <w:rFonts w:eastAsia="Times New Roman"/>
        </w:rPr>
        <w:t xml:space="preserve">. </w:t>
      </w:r>
    </w:p>
    <w:p w:rsidR="00D752F1" w:rsidRDefault="00FE39C8" w:rsidP="00E87059">
      <w:pPr>
        <w:shd w:val="clear" w:color="auto" w:fill="FFFFFF"/>
        <w:spacing w:before="100" w:beforeAutospacing="1" w:after="240"/>
        <w:ind w:firstLine="720"/>
        <w:rPr>
          <w:rFonts w:eastAsia="Times New Roman"/>
        </w:rPr>
      </w:pPr>
      <w:r>
        <w:rPr>
          <w:rFonts w:eastAsia="Times New Roman"/>
        </w:rPr>
        <w:t>As described above, the</w:t>
      </w:r>
      <w:r w:rsidR="00050D42">
        <w:rPr>
          <w:rFonts w:eastAsia="Times New Roman"/>
        </w:rPr>
        <w:t xml:space="preserve"> power to enact copyright law was included in the Constitution to</w:t>
      </w:r>
      <w:r w:rsidR="003D686F">
        <w:rPr>
          <w:rFonts w:eastAsia="Times New Roman"/>
        </w:rPr>
        <w:t xml:space="preserve"> </w:t>
      </w:r>
      <w:r w:rsidR="00CC0E45">
        <w:rPr>
          <w:rFonts w:eastAsia="Times New Roman"/>
        </w:rPr>
        <w:t xml:space="preserve">enrich society </w:t>
      </w:r>
      <w:r w:rsidR="003D686F">
        <w:rPr>
          <w:rFonts w:eastAsia="Times New Roman"/>
        </w:rPr>
        <w:t>by</w:t>
      </w:r>
      <w:r w:rsidR="00050D42">
        <w:rPr>
          <w:rFonts w:eastAsia="Times New Roman"/>
        </w:rPr>
        <w:t xml:space="preserve"> stimulat</w:t>
      </w:r>
      <w:r w:rsidR="003D686F">
        <w:rPr>
          <w:rFonts w:eastAsia="Times New Roman"/>
        </w:rPr>
        <w:t>ing</w:t>
      </w:r>
      <w:r w:rsidR="00050D42">
        <w:rPr>
          <w:rFonts w:eastAsia="Times New Roman"/>
        </w:rPr>
        <w:t xml:space="preserve"> creative expression</w:t>
      </w:r>
      <w:r w:rsidR="00DE41FF">
        <w:rPr>
          <w:rFonts w:eastAsia="Times New Roman"/>
        </w:rPr>
        <w:t xml:space="preserve"> and thereby</w:t>
      </w:r>
      <w:r w:rsidR="00DE0444">
        <w:rPr>
          <w:rFonts w:eastAsia="Times New Roman"/>
        </w:rPr>
        <w:t xml:space="preserve"> advancing public knowledge</w:t>
      </w:r>
      <w:r w:rsidR="004E1F93">
        <w:rPr>
          <w:rFonts w:eastAsia="Times New Roman"/>
        </w:rPr>
        <w:t xml:space="preserve">.  </w:t>
      </w:r>
      <w:r w:rsidR="00050D42">
        <w:rPr>
          <w:rFonts w:eastAsia="Times New Roman"/>
        </w:rPr>
        <w:t>The Supreme Court has consistently emphasized that the primary goal of copyright is to serve the public interest, not the author’s private interest.</w:t>
      </w:r>
      <w:r w:rsidR="00050D42">
        <w:rPr>
          <w:rStyle w:val="FootnoteReference"/>
          <w:rFonts w:eastAsia="Times New Roman"/>
        </w:rPr>
        <w:footnoteReference w:id="4"/>
      </w:r>
      <w:r w:rsidR="00D84B41">
        <w:rPr>
          <w:rFonts w:eastAsia="Times New Roman"/>
        </w:rPr>
        <w:t xml:space="preserve">  </w:t>
      </w:r>
      <w:r w:rsidR="00D752F1">
        <w:rPr>
          <w:rFonts w:eastAsia="Times New Roman"/>
        </w:rPr>
        <w:t xml:space="preserve">The Eleventh Circuit recently reaffirmed this fundamental principle in its decision in </w:t>
      </w:r>
      <w:r w:rsidR="00D752F1">
        <w:rPr>
          <w:rFonts w:eastAsia="Times New Roman"/>
          <w:u w:val="single"/>
        </w:rPr>
        <w:t>Cambridge University Press et al. v. Patton</w:t>
      </w:r>
      <w:r w:rsidR="00D752F1">
        <w:rPr>
          <w:rFonts w:eastAsia="Times New Roman"/>
        </w:rPr>
        <w:t xml:space="preserve"> (otherwise known as “the Georgia State” case):  “T</w:t>
      </w:r>
      <w:r w:rsidR="00D752F1" w:rsidRPr="00D752F1">
        <w:rPr>
          <w:rFonts w:eastAsia="Times New Roman"/>
        </w:rPr>
        <w:t>he fair use doctrine also critically limits the scope of the monopoly granted to authors under the Copyright Act in order to promote the public benefit cop</w:t>
      </w:r>
      <w:r w:rsidR="00D752F1">
        <w:rPr>
          <w:rFonts w:eastAsia="Times New Roman"/>
        </w:rPr>
        <w:t>yright is intended to achieve.”</w:t>
      </w:r>
      <w:r w:rsidR="001B3B91">
        <w:rPr>
          <w:rStyle w:val="FootnoteReference"/>
          <w:rFonts w:eastAsia="Times New Roman"/>
        </w:rPr>
        <w:footnoteReference w:id="5"/>
      </w:r>
      <w:r w:rsidR="00B7774D">
        <w:rPr>
          <w:rFonts w:eastAsia="Times New Roman"/>
        </w:rPr>
        <w:t xml:space="preserve">  </w:t>
      </w:r>
      <w:r w:rsidR="001F2ED3">
        <w:rPr>
          <w:rFonts w:eastAsia="Times New Roman"/>
        </w:rPr>
        <w:t>Moreover</w:t>
      </w:r>
      <w:r w:rsidR="00B7774D">
        <w:rPr>
          <w:rFonts w:eastAsia="Times New Roman"/>
        </w:rPr>
        <w:t xml:space="preserve">, </w:t>
      </w:r>
      <w:r w:rsidR="0049418D">
        <w:rPr>
          <w:rFonts w:eastAsia="Times New Roman"/>
        </w:rPr>
        <w:t xml:space="preserve">also </w:t>
      </w:r>
      <w:r w:rsidR="00B7774D">
        <w:rPr>
          <w:rFonts w:eastAsia="Times New Roman"/>
        </w:rPr>
        <w:t>in the Georgia State case, the Eleventh Circuit expressly recognized the specific import</w:t>
      </w:r>
      <w:r w:rsidR="00C27BDD">
        <w:rPr>
          <w:rFonts w:eastAsia="Times New Roman"/>
        </w:rPr>
        <w:t xml:space="preserve">ance </w:t>
      </w:r>
      <w:r w:rsidR="00442D0C">
        <w:rPr>
          <w:rFonts w:eastAsia="Times New Roman"/>
        </w:rPr>
        <w:t xml:space="preserve">and relevance </w:t>
      </w:r>
      <w:r w:rsidR="00C27BDD">
        <w:rPr>
          <w:rFonts w:eastAsia="Times New Roman"/>
        </w:rPr>
        <w:t>of fair use in the education context</w:t>
      </w:r>
      <w:r w:rsidR="00B7774D">
        <w:rPr>
          <w:rFonts w:eastAsia="Times New Roman"/>
        </w:rPr>
        <w:t>, asserting that “</w:t>
      </w:r>
      <w:r w:rsidR="00B7774D" w:rsidRPr="00B7774D">
        <w:rPr>
          <w:rFonts w:eastAsia="Times New Roman"/>
        </w:rPr>
        <w:t xml:space="preserve">Congress devoted extensive effort to ensure that fair use would allow for educational copying under the proper circumstances and was sufficiently determined to achieve this goal that it amended the text of the statute at the eleventh hour </w:t>
      </w:r>
      <w:r w:rsidR="00B7774D">
        <w:rPr>
          <w:rFonts w:eastAsia="Times New Roman"/>
        </w:rPr>
        <w:t>in order to expressly state it.”</w:t>
      </w:r>
      <w:r w:rsidR="00C27BDD">
        <w:rPr>
          <w:rStyle w:val="FootnoteReference"/>
          <w:rFonts w:eastAsia="Times New Roman"/>
        </w:rPr>
        <w:footnoteReference w:id="6"/>
      </w:r>
      <w:r w:rsidR="00A81261">
        <w:rPr>
          <w:rFonts w:eastAsia="Times New Roman"/>
        </w:rPr>
        <w:t xml:space="preserve">  </w:t>
      </w:r>
    </w:p>
    <w:p w:rsidR="00B25D7A" w:rsidRDefault="00D752F1" w:rsidP="00E87059">
      <w:pPr>
        <w:shd w:val="clear" w:color="auto" w:fill="FFFFFF"/>
        <w:spacing w:before="100" w:beforeAutospacing="1" w:after="240"/>
        <w:ind w:firstLine="720"/>
        <w:rPr>
          <w:rFonts w:eastAsia="Times New Roman"/>
        </w:rPr>
      </w:pPr>
      <w:r>
        <w:rPr>
          <w:rFonts w:eastAsia="Times New Roman"/>
        </w:rPr>
        <w:t xml:space="preserve">In short, </w:t>
      </w:r>
      <w:r w:rsidR="00D84B41">
        <w:rPr>
          <w:rFonts w:eastAsia="Times New Roman"/>
        </w:rPr>
        <w:t xml:space="preserve">Section 107 </w:t>
      </w:r>
      <w:r w:rsidR="007539FD">
        <w:rPr>
          <w:rFonts w:eastAsia="Times New Roman"/>
        </w:rPr>
        <w:t>statutorily shapes the boundaries of</w:t>
      </w:r>
      <w:r w:rsidR="00D84B41">
        <w:rPr>
          <w:rFonts w:eastAsia="Times New Roman"/>
        </w:rPr>
        <w:t xml:space="preserve"> a copyright </w:t>
      </w:r>
      <w:r w:rsidR="007539FD">
        <w:rPr>
          <w:rFonts w:eastAsia="Times New Roman"/>
        </w:rPr>
        <w:t xml:space="preserve">holder’s </w:t>
      </w:r>
      <w:r w:rsidR="00D84B41">
        <w:rPr>
          <w:rFonts w:eastAsia="Times New Roman"/>
        </w:rPr>
        <w:t>righ</w:t>
      </w:r>
      <w:r w:rsidR="00AD0DFE">
        <w:rPr>
          <w:rFonts w:eastAsia="Times New Roman"/>
        </w:rPr>
        <w:t xml:space="preserve">ts as delineated in Section 106.  It </w:t>
      </w:r>
      <w:r w:rsidR="00D84B41">
        <w:rPr>
          <w:rFonts w:eastAsia="Times New Roman"/>
        </w:rPr>
        <w:t xml:space="preserve">provides a </w:t>
      </w:r>
      <w:r w:rsidR="00D0705E">
        <w:rPr>
          <w:rFonts w:eastAsia="Times New Roman"/>
        </w:rPr>
        <w:t>pliable</w:t>
      </w:r>
      <w:r w:rsidR="00D84B41">
        <w:rPr>
          <w:rFonts w:eastAsia="Times New Roman"/>
        </w:rPr>
        <w:t xml:space="preserve"> fair use standard that entails</w:t>
      </w:r>
      <w:r w:rsidR="007539FD">
        <w:rPr>
          <w:rFonts w:eastAsia="Times New Roman"/>
        </w:rPr>
        <w:t xml:space="preserve"> a</w:t>
      </w:r>
      <w:r w:rsidR="00D84B41">
        <w:rPr>
          <w:rFonts w:eastAsia="Times New Roman"/>
        </w:rPr>
        <w:t xml:space="preserve"> case-specific analysis of whether particular use</w:t>
      </w:r>
      <w:r w:rsidR="00AE0AAE">
        <w:rPr>
          <w:rFonts w:eastAsia="Times New Roman"/>
        </w:rPr>
        <w:t>s</w:t>
      </w:r>
      <w:r w:rsidR="00D84B41">
        <w:rPr>
          <w:rFonts w:eastAsia="Times New Roman"/>
        </w:rPr>
        <w:t xml:space="preserve"> of copyrighted work</w:t>
      </w:r>
      <w:r w:rsidR="00AE0AAE">
        <w:rPr>
          <w:rFonts w:eastAsia="Times New Roman"/>
        </w:rPr>
        <w:t>s</w:t>
      </w:r>
      <w:r w:rsidR="00D84B41">
        <w:rPr>
          <w:rFonts w:eastAsia="Times New Roman"/>
        </w:rPr>
        <w:t xml:space="preserve"> </w:t>
      </w:r>
      <w:r w:rsidR="00AE0AAE">
        <w:rPr>
          <w:rFonts w:eastAsia="Times New Roman"/>
        </w:rPr>
        <w:t>are</w:t>
      </w:r>
      <w:r w:rsidR="00D84B41">
        <w:rPr>
          <w:rFonts w:eastAsia="Times New Roman"/>
        </w:rPr>
        <w:t xml:space="preserve"> </w:t>
      </w:r>
      <w:r w:rsidR="007539FD">
        <w:rPr>
          <w:rFonts w:eastAsia="Times New Roman"/>
        </w:rPr>
        <w:t xml:space="preserve">outside the scope of what the copyright holder is entitled to </w:t>
      </w:r>
      <w:r w:rsidR="0009008B">
        <w:rPr>
          <w:rFonts w:eastAsia="Times New Roman"/>
        </w:rPr>
        <w:t>prohibit</w:t>
      </w:r>
      <w:r w:rsidR="00D84B41">
        <w:rPr>
          <w:rFonts w:eastAsia="Times New Roman"/>
        </w:rPr>
        <w:t>.</w:t>
      </w:r>
      <w:r w:rsidR="00E17633">
        <w:rPr>
          <w:rStyle w:val="FootnoteReference"/>
          <w:rFonts w:eastAsia="Times New Roman"/>
        </w:rPr>
        <w:footnoteReference w:id="7"/>
      </w:r>
      <w:r w:rsidR="00D84B41">
        <w:rPr>
          <w:rFonts w:eastAsia="Times New Roman"/>
        </w:rPr>
        <w:t xml:space="preserve">  This multi-factored approach ensures that public and private interests are appropriately balanced.</w:t>
      </w:r>
    </w:p>
    <w:p w:rsidR="00EE3110" w:rsidRDefault="00EE3110" w:rsidP="00EE3110">
      <w:pPr>
        <w:shd w:val="clear" w:color="auto" w:fill="FFFFFF"/>
        <w:spacing w:before="100" w:beforeAutospacing="1" w:after="240"/>
        <w:ind w:firstLine="720"/>
        <w:rPr>
          <w:rFonts w:eastAsia="Times New Roman"/>
        </w:rPr>
      </w:pPr>
      <w:r>
        <w:rPr>
          <w:rFonts w:eastAsia="Times New Roman"/>
        </w:rPr>
        <w:t xml:space="preserve">Higher education institutions rely on the elasticity that fair use offers.  </w:t>
      </w:r>
      <w:r w:rsidR="00A5283E">
        <w:rPr>
          <w:rFonts w:eastAsia="Times New Roman"/>
        </w:rPr>
        <w:t xml:space="preserve">The availability of fair use </w:t>
      </w:r>
      <w:r w:rsidR="00C35DC7">
        <w:rPr>
          <w:rFonts w:eastAsia="Times New Roman"/>
        </w:rPr>
        <w:t xml:space="preserve">enables the effective use of copyrighted works when licenses are not reasonably available or when they are not required, even when available.  </w:t>
      </w:r>
      <w:r w:rsidR="003A4701">
        <w:rPr>
          <w:rFonts w:eastAsia="Times New Roman"/>
        </w:rPr>
        <w:t xml:space="preserve">Universities </w:t>
      </w:r>
      <w:r>
        <w:rPr>
          <w:rFonts w:eastAsia="Times New Roman"/>
        </w:rPr>
        <w:t>have found</w:t>
      </w:r>
      <w:r w:rsidR="003A4701">
        <w:rPr>
          <w:rFonts w:eastAsia="Times New Roman"/>
        </w:rPr>
        <w:t>, for example,</w:t>
      </w:r>
      <w:r>
        <w:rPr>
          <w:rFonts w:eastAsia="Times New Roman"/>
        </w:rPr>
        <w:t xml:space="preserve"> that several major educational publishers refuse to license content for library reserves, and that some copyright holders </w:t>
      </w:r>
      <w:r w:rsidR="000A6427">
        <w:rPr>
          <w:rFonts w:eastAsia="Times New Roman"/>
        </w:rPr>
        <w:t xml:space="preserve">simply </w:t>
      </w:r>
      <w:r>
        <w:rPr>
          <w:rFonts w:eastAsia="Times New Roman"/>
        </w:rPr>
        <w:t xml:space="preserve">fail to respond to requests to use copyrighted works.  Other rights holders are quick to demand royalties or licenses for sentence-long quotations that are used in scholarly works.  If fair use applies, the university may elect to use the work, but the perceived risk of </w:t>
      </w:r>
      <w:r w:rsidR="00A219C8">
        <w:rPr>
          <w:rFonts w:eastAsia="Times New Roman"/>
        </w:rPr>
        <w:t xml:space="preserve">an </w:t>
      </w:r>
      <w:r>
        <w:rPr>
          <w:rFonts w:eastAsia="Times New Roman"/>
        </w:rPr>
        <w:t xml:space="preserve">aggressive, misguided legal challenge </w:t>
      </w:r>
      <w:r w:rsidR="00D679B1">
        <w:rPr>
          <w:rFonts w:eastAsia="Times New Roman"/>
        </w:rPr>
        <w:t xml:space="preserve">nevertheless </w:t>
      </w:r>
      <w:r>
        <w:rPr>
          <w:rFonts w:eastAsia="Times New Roman"/>
        </w:rPr>
        <w:t xml:space="preserve">may cause the university to forego </w:t>
      </w:r>
      <w:r w:rsidR="00B20196">
        <w:rPr>
          <w:rFonts w:eastAsia="Times New Roman"/>
        </w:rPr>
        <w:t>a</w:t>
      </w:r>
      <w:r w:rsidR="00DF7EEA">
        <w:rPr>
          <w:rFonts w:eastAsia="Times New Roman"/>
        </w:rPr>
        <w:t xml:space="preserve"> legitimate use.  </w:t>
      </w:r>
      <w:r>
        <w:rPr>
          <w:rFonts w:eastAsia="Times New Roman"/>
        </w:rPr>
        <w:t xml:space="preserve">Universities and their faculty—who are, again, themselves authors and distributers—recognize </w:t>
      </w:r>
      <w:r>
        <w:rPr>
          <w:rFonts w:eastAsia="Times New Roman"/>
        </w:rPr>
        <w:lastRenderedPageBreak/>
        <w:t>the important copyright rights granted to authors, publishers, and other copyright holders.  Fair use must be available, however, if the mission of higher education is to be realized.</w:t>
      </w:r>
    </w:p>
    <w:p w:rsidR="00565D86" w:rsidRDefault="009A4224" w:rsidP="00E87059">
      <w:pPr>
        <w:shd w:val="clear" w:color="auto" w:fill="FFFFFF"/>
        <w:spacing w:before="100" w:beforeAutospacing="1" w:after="240"/>
        <w:ind w:firstLine="720"/>
        <w:rPr>
          <w:rFonts w:eastAsia="Times New Roman"/>
        </w:rPr>
      </w:pPr>
      <w:r>
        <w:rPr>
          <w:rFonts w:eastAsia="Times New Roman"/>
        </w:rPr>
        <w:t xml:space="preserve">Colleges and universities utilize fair use to teach and research in innovative ways.  Extensive use of online resources in education is perhaps the most </w:t>
      </w:r>
      <w:r w:rsidR="003559F6">
        <w:rPr>
          <w:rFonts w:eastAsia="Times New Roman"/>
        </w:rPr>
        <w:t>salient</w:t>
      </w:r>
      <w:r>
        <w:rPr>
          <w:rFonts w:eastAsia="Times New Roman"/>
        </w:rPr>
        <w:t xml:space="preserve"> development related to fair use since the </w:t>
      </w:r>
      <w:r w:rsidR="00022ED8">
        <w:rPr>
          <w:rFonts w:eastAsia="Times New Roman"/>
        </w:rPr>
        <w:t xml:space="preserve">enactment of the </w:t>
      </w:r>
      <w:r>
        <w:rPr>
          <w:rFonts w:eastAsia="Times New Roman"/>
        </w:rPr>
        <w:t>1976 Act.  Access to and dissemination of digital works for purposes of teaching, scholarship</w:t>
      </w:r>
      <w:r w:rsidR="0070588B">
        <w:rPr>
          <w:rFonts w:eastAsia="Times New Roman"/>
        </w:rPr>
        <w:t>,</w:t>
      </w:r>
      <w:r>
        <w:rPr>
          <w:rFonts w:eastAsia="Times New Roman"/>
        </w:rPr>
        <w:t xml:space="preserve"> and research are essential to the </w:t>
      </w:r>
      <w:r w:rsidR="00DD38C6">
        <w:rPr>
          <w:rFonts w:eastAsia="Times New Roman"/>
        </w:rPr>
        <w:t xml:space="preserve">higher </w:t>
      </w:r>
      <w:r>
        <w:rPr>
          <w:rFonts w:eastAsia="Times New Roman"/>
        </w:rPr>
        <w:t>education process.</w:t>
      </w:r>
      <w:r w:rsidR="00565D86">
        <w:rPr>
          <w:rFonts w:eastAsia="Times New Roman"/>
        </w:rPr>
        <w:t xml:space="preserve">  Full-text searching has been called the most significant advance in </w:t>
      </w:r>
      <w:r w:rsidR="005B1D27">
        <w:rPr>
          <w:rFonts w:eastAsia="Times New Roman"/>
        </w:rPr>
        <w:t xml:space="preserve">search technology in the </w:t>
      </w:r>
      <w:r w:rsidR="00582EF1">
        <w:rPr>
          <w:rFonts w:eastAsia="Times New Roman"/>
        </w:rPr>
        <w:t>past</w:t>
      </w:r>
      <w:r w:rsidR="005B1D27">
        <w:rPr>
          <w:rFonts w:eastAsia="Times New Roman"/>
        </w:rPr>
        <w:t xml:space="preserve"> five decades, for it allows scholars to perform searches in seconds that used to take days, months, or even years</w:t>
      </w:r>
      <w:r w:rsidR="0084647F">
        <w:rPr>
          <w:rFonts w:eastAsia="Times New Roman"/>
        </w:rPr>
        <w:t>—</w:t>
      </w:r>
      <w:r w:rsidR="005B1D27">
        <w:rPr>
          <w:rFonts w:eastAsia="Times New Roman"/>
        </w:rPr>
        <w:t>if the search was possible at all.</w:t>
      </w:r>
      <w:r w:rsidR="009524C6">
        <w:rPr>
          <w:rStyle w:val="FootnoteReference"/>
          <w:rFonts w:eastAsia="Times New Roman"/>
        </w:rPr>
        <w:footnoteReference w:id="8"/>
      </w:r>
      <w:r w:rsidR="005B1D27">
        <w:rPr>
          <w:rFonts w:eastAsia="Times New Roman"/>
        </w:rPr>
        <w:t xml:space="preserve">  “Text mining” is a </w:t>
      </w:r>
      <w:r w:rsidR="00E51F15">
        <w:rPr>
          <w:rFonts w:eastAsia="Times New Roman"/>
        </w:rPr>
        <w:t xml:space="preserve">powerful new </w:t>
      </w:r>
      <w:r w:rsidR="005B1D27">
        <w:rPr>
          <w:rFonts w:eastAsia="Times New Roman"/>
        </w:rPr>
        <w:t xml:space="preserve">form of statistical research made possible through application of fair use to digitized works.  </w:t>
      </w:r>
    </w:p>
    <w:p w:rsidR="000730FE" w:rsidRDefault="005F6B83" w:rsidP="0060057C">
      <w:pPr>
        <w:shd w:val="clear" w:color="auto" w:fill="FFFFFF"/>
        <w:spacing w:before="100" w:beforeAutospacing="1" w:after="240"/>
        <w:ind w:firstLine="720"/>
        <w:rPr>
          <w:rFonts w:eastAsia="Times New Roman"/>
        </w:rPr>
      </w:pPr>
      <w:r>
        <w:rPr>
          <w:rFonts w:eastAsia="Times New Roman"/>
        </w:rPr>
        <w:t>Fair use</w:t>
      </w:r>
      <w:r w:rsidR="000242BD">
        <w:rPr>
          <w:rFonts w:eastAsia="Times New Roman"/>
        </w:rPr>
        <w:t xml:space="preserve">, </w:t>
      </w:r>
      <w:r w:rsidR="009F76D3">
        <w:rPr>
          <w:rFonts w:eastAsia="Times New Roman"/>
        </w:rPr>
        <w:t>along with</w:t>
      </w:r>
      <w:r w:rsidR="0070588B">
        <w:rPr>
          <w:rFonts w:eastAsia="Times New Roman"/>
        </w:rPr>
        <w:t xml:space="preserve"> Section 121</w:t>
      </w:r>
      <w:r w:rsidR="00531078">
        <w:rPr>
          <w:rFonts w:eastAsia="Times New Roman"/>
        </w:rPr>
        <w:t xml:space="preserve"> </w:t>
      </w:r>
      <w:r w:rsidR="000242BD">
        <w:rPr>
          <w:rFonts w:eastAsia="Times New Roman"/>
        </w:rPr>
        <w:t>(“Reproduction for blind or other people with disabilities”),</w:t>
      </w:r>
      <w:r w:rsidR="0070588B">
        <w:rPr>
          <w:rFonts w:eastAsia="Times New Roman"/>
        </w:rPr>
        <w:t xml:space="preserve"> </w:t>
      </w:r>
      <w:r>
        <w:rPr>
          <w:rFonts w:eastAsia="Times New Roman"/>
        </w:rPr>
        <w:t>also expands educational opportunities for</w:t>
      </w:r>
      <w:r w:rsidR="0070588B">
        <w:rPr>
          <w:rFonts w:eastAsia="Times New Roman"/>
        </w:rPr>
        <w:t xml:space="preserve"> people</w:t>
      </w:r>
      <w:r>
        <w:rPr>
          <w:rFonts w:eastAsia="Times New Roman"/>
        </w:rPr>
        <w:t xml:space="preserve"> </w:t>
      </w:r>
      <w:r w:rsidR="0070588B">
        <w:rPr>
          <w:rFonts w:eastAsia="Times New Roman"/>
        </w:rPr>
        <w:t xml:space="preserve">who have </w:t>
      </w:r>
      <w:r>
        <w:rPr>
          <w:rFonts w:eastAsia="Times New Roman"/>
        </w:rPr>
        <w:t>print</w:t>
      </w:r>
      <w:r w:rsidR="0070588B">
        <w:rPr>
          <w:rFonts w:eastAsia="Times New Roman"/>
        </w:rPr>
        <w:t xml:space="preserve"> disabilities</w:t>
      </w:r>
      <w:r w:rsidR="00921E2E">
        <w:rPr>
          <w:rFonts w:eastAsia="Times New Roman"/>
        </w:rPr>
        <w:t xml:space="preserve">.  </w:t>
      </w:r>
      <w:r>
        <w:rPr>
          <w:rFonts w:eastAsia="Times New Roman"/>
        </w:rPr>
        <w:t xml:space="preserve">Digitization based on fair use is necessary to overcome disadvantages that </w:t>
      </w:r>
      <w:r w:rsidR="0070588B">
        <w:rPr>
          <w:rFonts w:eastAsia="Times New Roman"/>
        </w:rPr>
        <w:t xml:space="preserve">students who have </w:t>
      </w:r>
      <w:r>
        <w:rPr>
          <w:rFonts w:eastAsia="Times New Roman"/>
        </w:rPr>
        <w:t>print</w:t>
      </w:r>
      <w:r w:rsidR="0070588B">
        <w:rPr>
          <w:rFonts w:eastAsia="Times New Roman"/>
        </w:rPr>
        <w:t xml:space="preserve"> </w:t>
      </w:r>
      <w:r w:rsidR="005D5BBF">
        <w:rPr>
          <w:rFonts w:eastAsia="Times New Roman"/>
        </w:rPr>
        <w:t>disabilities</w:t>
      </w:r>
      <w:r>
        <w:rPr>
          <w:rFonts w:eastAsia="Times New Roman"/>
        </w:rPr>
        <w:t xml:space="preserve"> </w:t>
      </w:r>
      <w:r w:rsidR="000909FC">
        <w:rPr>
          <w:rFonts w:eastAsia="Times New Roman"/>
        </w:rPr>
        <w:t xml:space="preserve">historically </w:t>
      </w:r>
      <w:r>
        <w:rPr>
          <w:rFonts w:eastAsia="Times New Roman"/>
        </w:rPr>
        <w:t xml:space="preserve">have faced in research, scholarship, and </w:t>
      </w:r>
      <w:r w:rsidR="00FB3A55">
        <w:rPr>
          <w:rFonts w:eastAsia="Times New Roman"/>
        </w:rPr>
        <w:t>instruction</w:t>
      </w:r>
      <w:r>
        <w:rPr>
          <w:rFonts w:eastAsia="Times New Roman"/>
        </w:rPr>
        <w:t xml:space="preserve">.  </w:t>
      </w:r>
      <w:r w:rsidR="005D5BBF">
        <w:rPr>
          <w:rFonts w:eastAsia="Times New Roman"/>
        </w:rPr>
        <w:t>For the first time, students and scholars who have disabilities</w:t>
      </w:r>
      <w:r>
        <w:rPr>
          <w:rFonts w:eastAsia="Times New Roman"/>
        </w:rPr>
        <w:t xml:space="preserve"> are now able to access a universe of knowledge that</w:t>
      </w:r>
      <w:r w:rsidR="005D5BBF">
        <w:rPr>
          <w:rFonts w:eastAsia="Times New Roman"/>
        </w:rPr>
        <w:t>,</w:t>
      </w:r>
      <w:r>
        <w:rPr>
          <w:rFonts w:eastAsia="Times New Roman"/>
        </w:rPr>
        <w:t xml:space="preserve"> in its traditional form</w:t>
      </w:r>
      <w:r w:rsidR="005D5BBF">
        <w:rPr>
          <w:rFonts w:eastAsia="Times New Roman"/>
        </w:rPr>
        <w:t>,</w:t>
      </w:r>
      <w:r>
        <w:rPr>
          <w:rFonts w:eastAsia="Times New Roman"/>
        </w:rPr>
        <w:t xml:space="preserve"> they could not.  Fair use</w:t>
      </w:r>
      <w:r w:rsidR="005D5BBF">
        <w:rPr>
          <w:rFonts w:eastAsia="Times New Roman"/>
        </w:rPr>
        <w:t xml:space="preserve"> also</w:t>
      </w:r>
      <w:r>
        <w:rPr>
          <w:rFonts w:eastAsia="Times New Roman"/>
        </w:rPr>
        <w:t xml:space="preserve"> facilitates </w:t>
      </w:r>
      <w:r w:rsidR="005D5BBF">
        <w:rPr>
          <w:rFonts w:eastAsia="Times New Roman"/>
        </w:rPr>
        <w:t xml:space="preserve">institutional </w:t>
      </w:r>
      <w:r>
        <w:rPr>
          <w:rFonts w:eastAsia="Times New Roman"/>
        </w:rPr>
        <w:t xml:space="preserve">compliance with federal nondiscrimination laws that require higher education institutions to provide reasonable accommodations to </w:t>
      </w:r>
      <w:r w:rsidR="005D5BBF">
        <w:rPr>
          <w:rFonts w:eastAsia="Times New Roman"/>
        </w:rPr>
        <w:t>people who have disabilities</w:t>
      </w:r>
      <w:r>
        <w:rPr>
          <w:rFonts w:eastAsia="Times New Roman"/>
        </w:rPr>
        <w:t>.</w:t>
      </w:r>
      <w:r w:rsidR="00921E2E">
        <w:rPr>
          <w:rFonts w:eastAsia="Times New Roman"/>
        </w:rPr>
        <w:t xml:space="preserve"> </w:t>
      </w:r>
      <w:r w:rsidR="004F4899">
        <w:rPr>
          <w:rFonts w:eastAsia="Times New Roman"/>
        </w:rPr>
        <w:t xml:space="preserve"> </w:t>
      </w:r>
      <w:r w:rsidR="00921E2E">
        <w:rPr>
          <w:rFonts w:eastAsia="Times New Roman"/>
        </w:rPr>
        <w:t xml:space="preserve">These statements find support in </w:t>
      </w:r>
      <w:r w:rsidR="00DD6FC6">
        <w:rPr>
          <w:rFonts w:eastAsia="Times New Roman"/>
        </w:rPr>
        <w:t xml:space="preserve">District </w:t>
      </w:r>
      <w:r w:rsidR="00921E2E">
        <w:rPr>
          <w:rFonts w:eastAsia="Times New Roman"/>
        </w:rPr>
        <w:t xml:space="preserve">Court Judge Baer’s statement in </w:t>
      </w:r>
      <w:r w:rsidR="00921E2E">
        <w:rPr>
          <w:rFonts w:eastAsia="Times New Roman"/>
          <w:u w:val="single"/>
        </w:rPr>
        <w:t>Authors Guild v. HathiTrust</w:t>
      </w:r>
      <w:r w:rsidR="00DD6FC6">
        <w:rPr>
          <w:rFonts w:eastAsia="Times New Roman"/>
        </w:rPr>
        <w:t>, quoted approvingly by the Second Circuit,</w:t>
      </w:r>
      <w:r w:rsidR="00921E2E">
        <w:rPr>
          <w:rFonts w:eastAsia="Times New Roman"/>
        </w:rPr>
        <w:t xml:space="preserve"> that he could not “imagine a definition of fair use that would not encompass the transformative uses made by the [universities’ digitization project] and would require that I terminate this invaluable contribution to the progress of science and cultivation of the arts that at the same time effectuates the ideals espoused by the ADA.”</w:t>
      </w:r>
      <w:r w:rsidR="00EA6733">
        <w:rPr>
          <w:rStyle w:val="FootnoteReference"/>
          <w:rFonts w:eastAsia="Times New Roman"/>
        </w:rPr>
        <w:footnoteReference w:id="9"/>
      </w:r>
      <w:r w:rsidR="005D5BBF">
        <w:rPr>
          <w:rFonts w:eastAsia="Times New Roman"/>
        </w:rPr>
        <w:t xml:space="preserve">  </w:t>
      </w:r>
    </w:p>
    <w:p w:rsidR="00900C12" w:rsidRPr="00900C12" w:rsidRDefault="005F6B83" w:rsidP="00F45646">
      <w:pPr>
        <w:shd w:val="clear" w:color="auto" w:fill="FFFFFF"/>
        <w:spacing w:before="100" w:beforeAutospacing="1" w:after="240"/>
        <w:ind w:firstLine="720"/>
        <w:rPr>
          <w:rFonts w:eastAsia="Times New Roman"/>
        </w:rPr>
      </w:pPr>
      <w:r>
        <w:rPr>
          <w:rFonts w:eastAsia="Times New Roman"/>
        </w:rPr>
        <w:t xml:space="preserve">Finally, fair use </w:t>
      </w:r>
      <w:r w:rsidR="00B46364">
        <w:rPr>
          <w:rFonts w:eastAsia="Times New Roman"/>
        </w:rPr>
        <w:t>complements</w:t>
      </w:r>
      <w:r w:rsidR="00371532">
        <w:rPr>
          <w:rFonts w:eastAsia="Times New Roman"/>
        </w:rPr>
        <w:t xml:space="preserve"> </w:t>
      </w:r>
      <w:r>
        <w:rPr>
          <w:rFonts w:eastAsia="Times New Roman"/>
        </w:rPr>
        <w:t>the provisions of Section 108</w:t>
      </w:r>
      <w:r w:rsidR="00216DEC">
        <w:rPr>
          <w:rFonts w:eastAsia="Times New Roman"/>
        </w:rPr>
        <w:t xml:space="preserve"> (“Reproduction by libraries and archives”)</w:t>
      </w:r>
      <w:r>
        <w:rPr>
          <w:rFonts w:eastAsia="Times New Roman"/>
        </w:rPr>
        <w:t xml:space="preserve"> to assure </w:t>
      </w:r>
      <w:r w:rsidR="007D724F">
        <w:rPr>
          <w:rFonts w:eastAsia="Times New Roman"/>
        </w:rPr>
        <w:t xml:space="preserve">the </w:t>
      </w:r>
      <w:r>
        <w:rPr>
          <w:rFonts w:eastAsia="Times New Roman"/>
        </w:rPr>
        <w:t>preservation of information for future generations</w:t>
      </w:r>
      <w:r w:rsidR="00761EBE">
        <w:rPr>
          <w:rFonts w:eastAsia="Times New Roman"/>
        </w:rPr>
        <w:t>.</w:t>
      </w:r>
      <w:r w:rsidR="005F64D5">
        <w:rPr>
          <w:rFonts w:eastAsia="Times New Roman"/>
        </w:rPr>
        <w:t xml:space="preserve"> </w:t>
      </w:r>
      <w:r w:rsidR="005238BD">
        <w:rPr>
          <w:rFonts w:eastAsia="Times New Roman"/>
        </w:rPr>
        <w:t xml:space="preserve"> </w:t>
      </w:r>
      <w:r w:rsidR="00F64D56">
        <w:rPr>
          <w:rFonts w:eastAsia="Times New Roman"/>
        </w:rPr>
        <w:t>L</w:t>
      </w:r>
      <w:r w:rsidR="00900C12" w:rsidRPr="00900C12">
        <w:rPr>
          <w:rFonts w:eastAsia="Times New Roman"/>
        </w:rPr>
        <w:t>ibraries and archives are only allowed to distribute digital copies made under this provision to a very limited extent</w:t>
      </w:r>
      <w:r w:rsidR="0026005F">
        <w:rPr>
          <w:rFonts w:eastAsia="Times New Roman"/>
        </w:rPr>
        <w:t>, however,</w:t>
      </w:r>
      <w:r w:rsidR="004821B7">
        <w:rPr>
          <w:rFonts w:eastAsia="Times New Roman"/>
        </w:rPr>
        <w:t xml:space="preserve"> </w:t>
      </w:r>
      <w:r w:rsidR="00900C12" w:rsidRPr="00900C12">
        <w:rPr>
          <w:rFonts w:eastAsia="Times New Roman"/>
        </w:rPr>
        <w:t xml:space="preserve">and consequently must rely on </w:t>
      </w:r>
      <w:r w:rsidR="000A2D9E">
        <w:rPr>
          <w:rFonts w:eastAsia="Times New Roman"/>
        </w:rPr>
        <w:t xml:space="preserve">Section 108 and Section 107 </w:t>
      </w:r>
      <w:r w:rsidR="00C717E1">
        <w:rPr>
          <w:rFonts w:eastAsia="Times New Roman"/>
        </w:rPr>
        <w:t xml:space="preserve">in concert </w:t>
      </w:r>
      <w:r w:rsidR="00900C12" w:rsidRPr="00900C12">
        <w:rPr>
          <w:rFonts w:eastAsia="Times New Roman"/>
        </w:rPr>
        <w:t>in order to enable the accessibility of the digital copies</w:t>
      </w:r>
      <w:r w:rsidR="005238BD">
        <w:rPr>
          <w:rFonts w:eastAsia="Times New Roman"/>
        </w:rPr>
        <w:t xml:space="preserve"> to the public</w:t>
      </w:r>
      <w:r w:rsidR="00900C12" w:rsidRPr="00900C12">
        <w:rPr>
          <w:rFonts w:eastAsia="Times New Roman"/>
        </w:rPr>
        <w:t xml:space="preserve">. </w:t>
      </w:r>
      <w:r w:rsidR="00900C12">
        <w:rPr>
          <w:rFonts w:eastAsia="Times New Roman"/>
        </w:rPr>
        <w:t xml:space="preserve"> </w:t>
      </w:r>
      <w:r w:rsidR="0001481A">
        <w:rPr>
          <w:rFonts w:eastAsia="Times New Roman"/>
        </w:rPr>
        <w:t>Section 108</w:t>
      </w:r>
      <w:r w:rsidR="00900C12" w:rsidRPr="00900C12">
        <w:rPr>
          <w:rFonts w:eastAsia="Times New Roman"/>
        </w:rPr>
        <w:t xml:space="preserve">(b) and 108(c) specifically authorize libraries and archives to make digital copies of unpublished works that are not otherwise commercially available, but such copies may only be made available to the public on the premises of the library or archive in possession of such copy. </w:t>
      </w:r>
      <w:r w:rsidR="00073A8F">
        <w:rPr>
          <w:rFonts w:eastAsia="Times New Roman"/>
        </w:rPr>
        <w:t xml:space="preserve"> </w:t>
      </w:r>
      <w:r w:rsidR="00900C12" w:rsidRPr="00900C12">
        <w:rPr>
          <w:rFonts w:eastAsia="Times New Roman"/>
        </w:rPr>
        <w:t>Section 108(e) allows libraries and archives to distribute such works in digital form</w:t>
      </w:r>
      <w:r w:rsidR="00741143">
        <w:rPr>
          <w:rFonts w:eastAsia="Times New Roman"/>
        </w:rPr>
        <w:t>,</w:t>
      </w:r>
      <w:r w:rsidR="00900C12" w:rsidRPr="00900C12">
        <w:rPr>
          <w:rFonts w:eastAsia="Times New Roman"/>
        </w:rPr>
        <w:t xml:space="preserve"> but only to patrons who specifically request such a copy</w:t>
      </w:r>
      <w:r w:rsidR="00741143">
        <w:rPr>
          <w:rFonts w:eastAsia="Times New Roman"/>
        </w:rPr>
        <w:t>;</w:t>
      </w:r>
      <w:r w:rsidR="00900C12" w:rsidRPr="00900C12">
        <w:rPr>
          <w:rFonts w:eastAsia="Times New Roman"/>
        </w:rPr>
        <w:t xml:space="preserve"> and </w:t>
      </w:r>
      <w:r w:rsidR="00B12135">
        <w:rPr>
          <w:rFonts w:eastAsia="Times New Roman"/>
        </w:rPr>
        <w:t xml:space="preserve">it </w:t>
      </w:r>
      <w:r w:rsidR="00900C12" w:rsidRPr="00900C12">
        <w:rPr>
          <w:rFonts w:eastAsia="Times New Roman"/>
        </w:rPr>
        <w:t xml:space="preserve">does not explicitly </w:t>
      </w:r>
      <w:r w:rsidR="003A6CCE">
        <w:rPr>
          <w:rFonts w:eastAsia="Times New Roman"/>
        </w:rPr>
        <w:t>permit</w:t>
      </w:r>
      <w:r w:rsidR="00900C12" w:rsidRPr="00900C12">
        <w:rPr>
          <w:rFonts w:eastAsia="Times New Roman"/>
        </w:rPr>
        <w:t xml:space="preserve"> libraries and archives to provide access by displaying or performing the work, </w:t>
      </w:r>
      <w:r w:rsidR="00580F19">
        <w:rPr>
          <w:rFonts w:eastAsia="Times New Roman"/>
        </w:rPr>
        <w:t>so</w:t>
      </w:r>
      <w:r w:rsidR="00900C12" w:rsidRPr="00900C12">
        <w:rPr>
          <w:rFonts w:eastAsia="Times New Roman"/>
        </w:rPr>
        <w:t xml:space="preserve"> </w:t>
      </w:r>
      <w:r w:rsidR="00C50D6E">
        <w:rPr>
          <w:rFonts w:eastAsia="Times New Roman"/>
        </w:rPr>
        <w:t xml:space="preserve">it </w:t>
      </w:r>
      <w:r w:rsidR="00900C12" w:rsidRPr="00900C12">
        <w:rPr>
          <w:rFonts w:eastAsia="Times New Roman"/>
        </w:rPr>
        <w:t>does not specifically allow for computer display or performance.  And</w:t>
      </w:r>
      <w:r w:rsidR="00F75DF4">
        <w:rPr>
          <w:rFonts w:eastAsia="Times New Roman"/>
        </w:rPr>
        <w:t>,</w:t>
      </w:r>
      <w:r w:rsidR="00900C12" w:rsidRPr="00900C12">
        <w:rPr>
          <w:rFonts w:eastAsia="Times New Roman"/>
        </w:rPr>
        <w:t xml:space="preserve"> although</w:t>
      </w:r>
      <w:r w:rsidR="00AF6036">
        <w:rPr>
          <w:rFonts w:eastAsia="Times New Roman"/>
        </w:rPr>
        <w:t xml:space="preserve"> Section 108</w:t>
      </w:r>
      <w:r w:rsidR="00900C12" w:rsidRPr="00900C12">
        <w:rPr>
          <w:rFonts w:eastAsia="Times New Roman"/>
        </w:rPr>
        <w:t xml:space="preserve">(h) is more expansive in affording nonprofit educational institutions (which would include museums and other collections within such institutions) the right to “reproduce, distribute, display or perform” digital copies of works, such rights only apply to works in their last </w:t>
      </w:r>
      <w:r w:rsidR="00F75DF4">
        <w:rPr>
          <w:rFonts w:eastAsia="Times New Roman"/>
        </w:rPr>
        <w:t>twenty</w:t>
      </w:r>
      <w:r w:rsidR="00900C12" w:rsidRPr="00900C12">
        <w:rPr>
          <w:rFonts w:eastAsia="Times New Roman"/>
        </w:rPr>
        <w:t xml:space="preserve"> years of term of copyright.  </w:t>
      </w:r>
      <w:r w:rsidR="00A54401">
        <w:rPr>
          <w:rFonts w:eastAsia="Times New Roman"/>
        </w:rPr>
        <w:t>What is more</w:t>
      </w:r>
      <w:r w:rsidR="00900C12" w:rsidRPr="00900C12">
        <w:rPr>
          <w:rFonts w:eastAsia="Times New Roman"/>
        </w:rPr>
        <w:t>, none of the foregoing sections apply to the reproduction or distribution of music, pictorial, graphic or sculptural works. </w:t>
      </w:r>
    </w:p>
    <w:p w:rsidR="000929EE" w:rsidRPr="007F4900" w:rsidRDefault="00C676E3" w:rsidP="000929EE">
      <w:pPr>
        <w:shd w:val="clear" w:color="auto" w:fill="FFFFFF"/>
        <w:spacing w:before="100" w:beforeAutospacing="1" w:after="240"/>
        <w:rPr>
          <w:rFonts w:eastAsia="Times New Roman"/>
          <w:b/>
          <w:u w:val="single"/>
        </w:rPr>
      </w:pPr>
      <w:r>
        <w:rPr>
          <w:rFonts w:eastAsia="Times New Roman"/>
        </w:rPr>
        <w:tab/>
      </w:r>
      <w:r w:rsidR="000929EE" w:rsidRPr="007F4900">
        <w:rPr>
          <w:rFonts w:eastAsia="Times New Roman"/>
          <w:b/>
          <w:u w:val="single"/>
        </w:rPr>
        <w:t>TEACH Act</w:t>
      </w:r>
    </w:p>
    <w:p w:rsidR="008A08C6" w:rsidRDefault="003E59CF" w:rsidP="001B1EFB">
      <w:pPr>
        <w:shd w:val="clear" w:color="auto" w:fill="FFFFFF"/>
        <w:spacing w:before="100" w:beforeAutospacing="1" w:after="240"/>
        <w:ind w:firstLine="720"/>
        <w:rPr>
          <w:rFonts w:eastAsia="Times New Roman"/>
        </w:rPr>
      </w:pPr>
      <w:r>
        <w:rPr>
          <w:rFonts w:eastAsia="Times New Roman"/>
        </w:rPr>
        <w:t>The TEACH Act</w:t>
      </w:r>
      <w:r w:rsidR="00697C09">
        <w:rPr>
          <w:rFonts w:eastAsia="Times New Roman"/>
        </w:rPr>
        <w:t xml:space="preserve">, </w:t>
      </w:r>
      <w:r w:rsidR="00105146">
        <w:rPr>
          <w:rFonts w:eastAsia="Times New Roman"/>
        </w:rPr>
        <w:t xml:space="preserve">enacted in late 2002 and </w:t>
      </w:r>
      <w:r w:rsidR="00F04A00">
        <w:rPr>
          <w:rFonts w:eastAsia="Times New Roman"/>
        </w:rPr>
        <w:t>located</w:t>
      </w:r>
      <w:r w:rsidR="00697C09">
        <w:rPr>
          <w:rFonts w:eastAsia="Times New Roman"/>
        </w:rPr>
        <w:t xml:space="preserve"> in Section 110(2) of the Act, </w:t>
      </w:r>
      <w:r w:rsidR="00813A41">
        <w:rPr>
          <w:rFonts w:eastAsia="Times New Roman"/>
        </w:rPr>
        <w:t xml:space="preserve">was intended to </w:t>
      </w:r>
      <w:r w:rsidR="00697C09">
        <w:rPr>
          <w:rFonts w:eastAsia="Times New Roman"/>
        </w:rPr>
        <w:t>broaden educators’ rights to perform and display works in the context of digital</w:t>
      </w:r>
      <w:r w:rsidR="00060F16">
        <w:rPr>
          <w:rFonts w:eastAsia="Times New Roman"/>
        </w:rPr>
        <w:t xml:space="preserve"> dis</w:t>
      </w:r>
      <w:r w:rsidR="000A2304">
        <w:rPr>
          <w:rFonts w:eastAsia="Times New Roman"/>
        </w:rPr>
        <w:t xml:space="preserve">tance education.  </w:t>
      </w:r>
      <w:r w:rsidR="00060F16">
        <w:rPr>
          <w:rFonts w:eastAsia="Times New Roman"/>
        </w:rPr>
        <w:t xml:space="preserve">Section 110(2) is </w:t>
      </w:r>
      <w:r w:rsidR="000A2304">
        <w:rPr>
          <w:rFonts w:eastAsia="Times New Roman"/>
        </w:rPr>
        <w:t>strictly limited in scope</w:t>
      </w:r>
      <w:r w:rsidR="00813A41">
        <w:rPr>
          <w:rFonts w:eastAsia="Times New Roman"/>
        </w:rPr>
        <w:t>—</w:t>
      </w:r>
      <w:r w:rsidR="00D07C04">
        <w:rPr>
          <w:rFonts w:eastAsia="Times New Roman"/>
        </w:rPr>
        <w:t>for example, requiring that audiovisual and dramatic musical works be shown only as clips</w:t>
      </w:r>
      <w:r w:rsidR="00813A41">
        <w:rPr>
          <w:rFonts w:eastAsia="Times New Roman"/>
        </w:rPr>
        <w:t>—</w:t>
      </w:r>
      <w:r w:rsidR="000A2304">
        <w:rPr>
          <w:rFonts w:eastAsia="Times New Roman"/>
        </w:rPr>
        <w:t xml:space="preserve">particularly in comparison </w:t>
      </w:r>
      <w:r w:rsidR="009923F7">
        <w:rPr>
          <w:rFonts w:eastAsia="Times New Roman"/>
        </w:rPr>
        <w:t>with</w:t>
      </w:r>
      <w:r w:rsidR="000A2304">
        <w:rPr>
          <w:rFonts w:eastAsia="Times New Roman"/>
        </w:rPr>
        <w:t xml:space="preserve"> the rights afforded to educators in face-to-face teaching settings in </w:t>
      </w:r>
      <w:r w:rsidR="000A2304">
        <w:rPr>
          <w:rFonts w:eastAsia="Times New Roman"/>
        </w:rPr>
        <w:lastRenderedPageBreak/>
        <w:t xml:space="preserve">Section 110(1).  </w:t>
      </w:r>
      <w:r w:rsidR="0064741A">
        <w:rPr>
          <w:rFonts w:eastAsia="Times New Roman"/>
        </w:rPr>
        <w:t>The</w:t>
      </w:r>
      <w:r w:rsidR="000A2304">
        <w:rPr>
          <w:rFonts w:eastAsia="Times New Roman"/>
        </w:rPr>
        <w:t xml:space="preserve"> disparity</w:t>
      </w:r>
      <w:r w:rsidR="0064741A">
        <w:rPr>
          <w:rFonts w:eastAsia="Times New Roman"/>
        </w:rPr>
        <w:t xml:space="preserve"> between face-to-face and distance learning</w:t>
      </w:r>
      <w:r w:rsidR="000A2304">
        <w:rPr>
          <w:rFonts w:eastAsia="Times New Roman"/>
        </w:rPr>
        <w:t xml:space="preserve">, however, has become </w:t>
      </w:r>
      <w:r w:rsidR="004E03B2">
        <w:rPr>
          <w:rFonts w:eastAsia="Times New Roman"/>
        </w:rPr>
        <w:t xml:space="preserve">far </w:t>
      </w:r>
      <w:r w:rsidR="000A2304">
        <w:rPr>
          <w:rFonts w:eastAsia="Times New Roman"/>
        </w:rPr>
        <w:t xml:space="preserve">less </w:t>
      </w:r>
      <w:r w:rsidR="00714D58">
        <w:rPr>
          <w:rFonts w:eastAsia="Times New Roman"/>
        </w:rPr>
        <w:t>relevant</w:t>
      </w:r>
      <w:r w:rsidR="000A2304">
        <w:rPr>
          <w:rFonts w:eastAsia="Times New Roman"/>
        </w:rPr>
        <w:t xml:space="preserve"> in the twelve years since the TEACH Act </w:t>
      </w:r>
      <w:r w:rsidR="00015B9C">
        <w:rPr>
          <w:rFonts w:eastAsia="Times New Roman"/>
        </w:rPr>
        <w:t>became law</w:t>
      </w:r>
      <w:r w:rsidR="004A05CB">
        <w:rPr>
          <w:rFonts w:eastAsia="Times New Roman"/>
        </w:rPr>
        <w:t>, as online education</w:t>
      </w:r>
      <w:r w:rsidR="00DA6E7E">
        <w:rPr>
          <w:rFonts w:eastAsia="Times New Roman"/>
        </w:rPr>
        <w:t xml:space="preserve"> has </w:t>
      </w:r>
      <w:r w:rsidR="004A05CB">
        <w:rPr>
          <w:rFonts w:eastAsia="Times New Roman"/>
        </w:rPr>
        <w:t>rapidly flourished</w:t>
      </w:r>
      <w:r w:rsidR="000A2304">
        <w:rPr>
          <w:rFonts w:eastAsia="Times New Roman"/>
        </w:rPr>
        <w:t>.</w:t>
      </w:r>
      <w:r w:rsidR="001D359E">
        <w:rPr>
          <w:rFonts w:eastAsia="Times New Roman"/>
        </w:rPr>
        <w:t xml:space="preserve">  Indeed, many educators find that the TEACH Act’s complexity, combined with its </w:t>
      </w:r>
      <w:r w:rsidR="009672B6">
        <w:rPr>
          <w:rFonts w:eastAsia="Times New Roman"/>
        </w:rPr>
        <w:t xml:space="preserve">array of limitations </w:t>
      </w:r>
      <w:r w:rsidR="001D359E">
        <w:rPr>
          <w:rFonts w:eastAsia="Times New Roman"/>
        </w:rPr>
        <w:t xml:space="preserve">and conditions, render it </w:t>
      </w:r>
      <w:r w:rsidR="009E52E4">
        <w:rPr>
          <w:rFonts w:eastAsia="Times New Roman"/>
        </w:rPr>
        <w:t xml:space="preserve">essentially </w:t>
      </w:r>
      <w:r w:rsidR="001D359E">
        <w:rPr>
          <w:rFonts w:eastAsia="Times New Roman"/>
        </w:rPr>
        <w:t>useless</w:t>
      </w:r>
      <w:r w:rsidR="004C244C">
        <w:rPr>
          <w:rFonts w:eastAsia="Times New Roman"/>
        </w:rPr>
        <w:t>.</w:t>
      </w:r>
    </w:p>
    <w:p w:rsidR="003E59CF" w:rsidRDefault="009672B6" w:rsidP="001B1EFB">
      <w:pPr>
        <w:shd w:val="clear" w:color="auto" w:fill="FFFFFF"/>
        <w:spacing w:before="100" w:beforeAutospacing="1" w:after="240"/>
        <w:ind w:firstLine="720"/>
        <w:rPr>
          <w:rFonts w:eastAsia="Times New Roman"/>
        </w:rPr>
      </w:pPr>
      <w:r>
        <w:rPr>
          <w:rFonts w:eastAsia="Times New Roman"/>
        </w:rPr>
        <w:t xml:space="preserve">Nonetheless, with the continued growth of online education, a workable TEACH Act would benefit students and faculty engaged in online education.  </w:t>
      </w:r>
      <w:r w:rsidR="009E52E4">
        <w:rPr>
          <w:rFonts w:eastAsia="Times New Roman"/>
        </w:rPr>
        <w:t xml:space="preserve">The higher education associations therefore respectfully propose </w:t>
      </w:r>
      <w:r w:rsidR="008A08C6">
        <w:rPr>
          <w:rFonts w:eastAsia="Times New Roman"/>
        </w:rPr>
        <w:t xml:space="preserve">that </w:t>
      </w:r>
      <w:r w:rsidR="00D4667B">
        <w:rPr>
          <w:rFonts w:eastAsia="Times New Roman"/>
        </w:rPr>
        <w:t xml:space="preserve">Congress and </w:t>
      </w:r>
      <w:r w:rsidR="008A08C6">
        <w:rPr>
          <w:rFonts w:eastAsia="Times New Roman"/>
        </w:rPr>
        <w:t>the Copyright Office consider updates and revisions to</w:t>
      </w:r>
      <w:r w:rsidR="0037782E">
        <w:rPr>
          <w:rFonts w:eastAsia="Times New Roman"/>
        </w:rPr>
        <w:t xml:space="preserve"> Section 110(2) to make the TEACH Act </w:t>
      </w:r>
      <w:r w:rsidR="00907D67">
        <w:rPr>
          <w:rFonts w:eastAsia="Times New Roman"/>
        </w:rPr>
        <w:t>consonant with</w:t>
      </w:r>
      <w:r w:rsidR="004C244C">
        <w:rPr>
          <w:rFonts w:eastAsia="Times New Roman"/>
        </w:rPr>
        <w:t xml:space="preserve"> current and anticipated pedagogical practices </w:t>
      </w:r>
      <w:r w:rsidR="007E4CA9">
        <w:rPr>
          <w:rFonts w:eastAsia="Times New Roman"/>
        </w:rPr>
        <w:t>by enabling</w:t>
      </w:r>
      <w:r w:rsidR="0037782E">
        <w:rPr>
          <w:rFonts w:eastAsia="Times New Roman"/>
        </w:rPr>
        <w:t xml:space="preserve"> a fuller exploitation of ever-evolving digital technology for educational purposes</w:t>
      </w:r>
      <w:r w:rsidR="00DE2549">
        <w:rPr>
          <w:rFonts w:eastAsia="Times New Roman"/>
        </w:rPr>
        <w:t>.</w:t>
      </w:r>
      <w:r w:rsidR="00B8324A">
        <w:rPr>
          <w:rFonts w:eastAsia="Times New Roman"/>
        </w:rPr>
        <w:t xml:space="preserve">  </w:t>
      </w:r>
    </w:p>
    <w:p w:rsidR="000929EE" w:rsidRPr="00F45646" w:rsidRDefault="000929EE" w:rsidP="00F45646">
      <w:pPr>
        <w:shd w:val="clear" w:color="auto" w:fill="FFFFFF"/>
        <w:spacing w:before="100" w:beforeAutospacing="1" w:after="240"/>
        <w:ind w:firstLine="720"/>
        <w:rPr>
          <w:rFonts w:eastAsia="Times New Roman"/>
          <w:b/>
          <w:u w:val="single"/>
        </w:rPr>
      </w:pPr>
      <w:r w:rsidRPr="00F45646">
        <w:rPr>
          <w:rFonts w:eastAsia="Times New Roman"/>
          <w:b/>
          <w:u w:val="single"/>
        </w:rPr>
        <w:t>Orphan Works</w:t>
      </w:r>
    </w:p>
    <w:p w:rsidR="007C3D68" w:rsidRPr="00F45646" w:rsidRDefault="007C3D68" w:rsidP="007C3D68">
      <w:pPr>
        <w:shd w:val="clear" w:color="auto" w:fill="FFFFFF"/>
        <w:spacing w:before="100" w:beforeAutospacing="1" w:after="240"/>
        <w:rPr>
          <w:rFonts w:eastAsia="Times New Roman"/>
        </w:rPr>
      </w:pPr>
      <w:r>
        <w:rPr>
          <w:rFonts w:eastAsia="Times New Roman"/>
        </w:rPr>
        <w:tab/>
      </w:r>
      <w:r w:rsidRPr="00F45646">
        <w:rPr>
          <w:rFonts w:eastAsia="Times New Roman"/>
        </w:rPr>
        <w:t>The higher education community appreciates Congress’s and the Copyright Office’s ongoing attention to the challenges presented by orphan works</w:t>
      </w:r>
      <w:r w:rsidR="00813A41" w:rsidRPr="00F45646">
        <w:rPr>
          <w:rFonts w:eastAsia="Times New Roman"/>
        </w:rPr>
        <w:t>—</w:t>
      </w:r>
      <w:r w:rsidRPr="00F45646">
        <w:rPr>
          <w:rFonts w:eastAsia="Times New Roman"/>
        </w:rPr>
        <w:t xml:space="preserve">works </w:t>
      </w:r>
      <w:r w:rsidR="00813A41" w:rsidRPr="00F45646">
        <w:rPr>
          <w:rFonts w:eastAsia="Times New Roman"/>
        </w:rPr>
        <w:t>protected</w:t>
      </w:r>
      <w:r w:rsidRPr="00F45646">
        <w:rPr>
          <w:rFonts w:eastAsia="Times New Roman"/>
        </w:rPr>
        <w:t xml:space="preserve"> </w:t>
      </w:r>
      <w:r w:rsidR="0099486F" w:rsidRPr="00F45646">
        <w:rPr>
          <w:rFonts w:eastAsia="Times New Roman"/>
        </w:rPr>
        <w:t xml:space="preserve">by </w:t>
      </w:r>
      <w:r w:rsidRPr="00F45646">
        <w:rPr>
          <w:rFonts w:eastAsia="Times New Roman"/>
        </w:rPr>
        <w:t xml:space="preserve">copyright, but whose copyright </w:t>
      </w:r>
      <w:r w:rsidR="00813A41" w:rsidRPr="00F45646">
        <w:rPr>
          <w:rFonts w:eastAsia="Times New Roman"/>
        </w:rPr>
        <w:t xml:space="preserve">holders </w:t>
      </w:r>
      <w:r w:rsidRPr="00F45646">
        <w:rPr>
          <w:rFonts w:eastAsia="Times New Roman"/>
        </w:rPr>
        <w:t xml:space="preserve">cannot be identified or </w:t>
      </w:r>
      <w:r w:rsidR="00813A41" w:rsidRPr="00F45646">
        <w:rPr>
          <w:rFonts w:eastAsia="Times New Roman"/>
        </w:rPr>
        <w:t>located</w:t>
      </w:r>
      <w:r w:rsidRPr="00F45646">
        <w:rPr>
          <w:rFonts w:eastAsia="Times New Roman"/>
        </w:rPr>
        <w:t xml:space="preserve">. </w:t>
      </w:r>
      <w:r w:rsidR="00DB322F" w:rsidRPr="00F45646">
        <w:rPr>
          <w:rFonts w:eastAsia="Times New Roman"/>
        </w:rPr>
        <w:t xml:space="preserve"> </w:t>
      </w:r>
      <w:r w:rsidR="00A063C0">
        <w:rPr>
          <w:rFonts w:eastAsia="Times New Roman"/>
        </w:rPr>
        <w:t xml:space="preserve">Orphan works present a </w:t>
      </w:r>
      <w:r w:rsidR="00F871B4" w:rsidRPr="00F45646">
        <w:rPr>
          <w:rFonts w:eastAsia="Times New Roman"/>
        </w:rPr>
        <w:t>serious</w:t>
      </w:r>
      <w:r w:rsidR="00DB322F" w:rsidRPr="00F45646">
        <w:rPr>
          <w:rFonts w:eastAsia="Times New Roman"/>
        </w:rPr>
        <w:t xml:space="preserve"> problem for </w:t>
      </w:r>
      <w:r w:rsidR="00547E21">
        <w:rPr>
          <w:rFonts w:eastAsia="Times New Roman"/>
        </w:rPr>
        <w:t>institutions of higher education</w:t>
      </w:r>
      <w:r w:rsidR="00BA0834">
        <w:rPr>
          <w:rFonts w:eastAsia="Times New Roman"/>
        </w:rPr>
        <w:t xml:space="preserve">.  </w:t>
      </w:r>
      <w:r w:rsidR="00C46B95">
        <w:rPr>
          <w:rFonts w:eastAsia="Times New Roman"/>
        </w:rPr>
        <w:t xml:space="preserve">Typically, </w:t>
      </w:r>
      <w:r w:rsidR="00EB36EB">
        <w:rPr>
          <w:rFonts w:eastAsia="Times New Roman"/>
        </w:rPr>
        <w:t xml:space="preserve">these </w:t>
      </w:r>
      <w:r w:rsidR="00C46B95">
        <w:rPr>
          <w:rFonts w:eastAsia="Times New Roman"/>
        </w:rPr>
        <w:t>works are unavailable for sale, new or otherwise, and there i</w:t>
      </w:r>
      <w:r w:rsidR="002E5601">
        <w:rPr>
          <w:rFonts w:eastAsia="Times New Roman"/>
        </w:rPr>
        <w:t>s</w:t>
      </w:r>
      <w:r w:rsidR="00C46B95">
        <w:rPr>
          <w:rFonts w:eastAsia="Times New Roman"/>
        </w:rPr>
        <w:t xml:space="preserve"> no </w:t>
      </w:r>
      <w:r w:rsidR="001E6610">
        <w:rPr>
          <w:rFonts w:eastAsia="Times New Roman"/>
        </w:rPr>
        <w:t xml:space="preserve">reliable </w:t>
      </w:r>
      <w:r w:rsidR="00C46B95">
        <w:rPr>
          <w:rFonts w:eastAsia="Times New Roman"/>
        </w:rPr>
        <w:t>way</w:t>
      </w:r>
      <w:r w:rsidR="00F66367" w:rsidRPr="00F45646">
        <w:rPr>
          <w:rFonts w:eastAsia="Times New Roman"/>
        </w:rPr>
        <w:t>—</w:t>
      </w:r>
      <w:r w:rsidR="00267D81">
        <w:rPr>
          <w:rFonts w:eastAsia="Times New Roman"/>
        </w:rPr>
        <w:t xml:space="preserve">even with </w:t>
      </w:r>
      <w:r w:rsidR="000A509E">
        <w:rPr>
          <w:rFonts w:eastAsia="Times New Roman"/>
        </w:rPr>
        <w:t xml:space="preserve">a good faith, </w:t>
      </w:r>
      <w:r w:rsidR="008F2137">
        <w:rPr>
          <w:rFonts w:eastAsia="Times New Roman"/>
        </w:rPr>
        <w:t>diligent effort</w:t>
      </w:r>
      <w:r w:rsidR="00AA5902" w:rsidRPr="00F45646">
        <w:rPr>
          <w:rFonts w:eastAsia="Times New Roman"/>
        </w:rPr>
        <w:t>—</w:t>
      </w:r>
      <w:r w:rsidR="00C46B95">
        <w:rPr>
          <w:rFonts w:eastAsia="Times New Roman"/>
        </w:rPr>
        <w:t xml:space="preserve">to </w:t>
      </w:r>
      <w:r w:rsidR="00FF2F6E">
        <w:rPr>
          <w:rFonts w:eastAsia="Times New Roman"/>
        </w:rPr>
        <w:t>secure</w:t>
      </w:r>
      <w:r w:rsidR="00C46B95">
        <w:rPr>
          <w:rFonts w:eastAsia="Times New Roman"/>
        </w:rPr>
        <w:t xml:space="preserve"> permission to use them</w:t>
      </w:r>
      <w:r w:rsidR="00C91D19">
        <w:rPr>
          <w:rFonts w:eastAsia="Times New Roman"/>
        </w:rPr>
        <w:t>.  This situation generates</w:t>
      </w:r>
      <w:r w:rsidR="005320C5">
        <w:rPr>
          <w:rFonts w:eastAsia="Times New Roman"/>
        </w:rPr>
        <w:t xml:space="preserve"> uncertainty and </w:t>
      </w:r>
      <w:r w:rsidR="00C91D19">
        <w:rPr>
          <w:rFonts w:eastAsia="Times New Roman"/>
        </w:rPr>
        <w:t>raises</w:t>
      </w:r>
      <w:r w:rsidR="005320C5">
        <w:rPr>
          <w:rFonts w:eastAsia="Times New Roman"/>
        </w:rPr>
        <w:t xml:space="preserve"> the specter of copyright liability</w:t>
      </w:r>
      <w:r w:rsidR="00580B9B">
        <w:rPr>
          <w:rFonts w:eastAsia="Times New Roman"/>
        </w:rPr>
        <w:t xml:space="preserve"> for </w:t>
      </w:r>
      <w:r w:rsidR="00945A8C">
        <w:rPr>
          <w:rFonts w:eastAsia="Times New Roman"/>
        </w:rPr>
        <w:t>colleges and universities</w:t>
      </w:r>
      <w:r w:rsidR="002F437E">
        <w:rPr>
          <w:rFonts w:eastAsia="Times New Roman"/>
        </w:rPr>
        <w:t xml:space="preserve"> (particularly</w:t>
      </w:r>
      <w:r w:rsidR="0062660F">
        <w:rPr>
          <w:rFonts w:eastAsia="Times New Roman"/>
        </w:rPr>
        <w:t xml:space="preserve"> </w:t>
      </w:r>
      <w:r w:rsidR="002F437E">
        <w:rPr>
          <w:rFonts w:eastAsia="Times New Roman"/>
        </w:rPr>
        <w:t>smaller institution</w:t>
      </w:r>
      <w:r w:rsidR="0062660F">
        <w:rPr>
          <w:rFonts w:eastAsia="Times New Roman"/>
        </w:rPr>
        <w:t>s</w:t>
      </w:r>
      <w:r w:rsidR="002F437E">
        <w:rPr>
          <w:rFonts w:eastAsia="Times New Roman"/>
        </w:rPr>
        <w:t xml:space="preserve"> that cannot afford regular legal counsel)</w:t>
      </w:r>
      <w:r w:rsidR="00C46B95">
        <w:rPr>
          <w:rFonts w:eastAsia="Times New Roman"/>
        </w:rPr>
        <w:t xml:space="preserve">.  </w:t>
      </w:r>
      <w:r w:rsidR="00E724A0">
        <w:rPr>
          <w:rFonts w:eastAsia="Times New Roman"/>
        </w:rPr>
        <w:t>Consequently, u</w:t>
      </w:r>
      <w:r w:rsidR="00DB322F" w:rsidRPr="00F45646">
        <w:rPr>
          <w:rFonts w:eastAsia="Times New Roman"/>
        </w:rPr>
        <w:t xml:space="preserve">niversity libraries, museums, archives, and other public-service entities holding orphan works </w:t>
      </w:r>
      <w:r w:rsidR="00BA0671">
        <w:rPr>
          <w:rFonts w:eastAsia="Times New Roman"/>
        </w:rPr>
        <w:t>are deterred from using these works</w:t>
      </w:r>
      <w:r w:rsidR="004612FD" w:rsidRPr="00F45646">
        <w:rPr>
          <w:rFonts w:eastAsia="Times New Roman"/>
        </w:rPr>
        <w:t>—</w:t>
      </w:r>
      <w:r w:rsidR="00BA0671">
        <w:rPr>
          <w:rFonts w:eastAsia="Times New Roman"/>
        </w:rPr>
        <w:t>some of which may be very significant</w:t>
      </w:r>
      <w:r w:rsidR="004612FD" w:rsidRPr="00F45646">
        <w:rPr>
          <w:rFonts w:eastAsia="Times New Roman"/>
        </w:rPr>
        <w:t>—</w:t>
      </w:r>
      <w:r w:rsidR="00BA0671">
        <w:rPr>
          <w:rFonts w:eastAsia="Times New Roman"/>
        </w:rPr>
        <w:t>for education, research, and broad public benefit.</w:t>
      </w:r>
      <w:r w:rsidR="005A2D8A">
        <w:rPr>
          <w:rFonts w:eastAsia="Times New Roman"/>
        </w:rPr>
        <w:t xml:space="preserve">  </w:t>
      </w:r>
    </w:p>
    <w:p w:rsidR="009D63DA" w:rsidRDefault="004541F2" w:rsidP="00F22D79">
      <w:pPr>
        <w:shd w:val="clear" w:color="auto" w:fill="FFFFFF"/>
        <w:spacing w:before="100" w:beforeAutospacing="1" w:after="240"/>
        <w:ind w:firstLine="720"/>
        <w:rPr>
          <w:rFonts w:eastAsia="Times New Roman"/>
        </w:rPr>
      </w:pPr>
      <w:r>
        <w:rPr>
          <w:rFonts w:eastAsia="Times New Roman"/>
        </w:rPr>
        <w:t xml:space="preserve">The higher education associations do not </w:t>
      </w:r>
      <w:r w:rsidR="009539DC">
        <w:rPr>
          <w:rFonts w:eastAsia="Times New Roman"/>
        </w:rPr>
        <w:t xml:space="preserve">at this time </w:t>
      </w:r>
      <w:r>
        <w:rPr>
          <w:rFonts w:eastAsia="Times New Roman"/>
        </w:rPr>
        <w:t xml:space="preserve">endorse any </w:t>
      </w:r>
      <w:r w:rsidR="00E85EA1">
        <w:rPr>
          <w:rFonts w:eastAsia="Times New Roman"/>
        </w:rPr>
        <w:t xml:space="preserve">present or past </w:t>
      </w:r>
      <w:r w:rsidR="00F22D79">
        <w:rPr>
          <w:rFonts w:eastAsia="Times New Roman"/>
        </w:rPr>
        <w:t xml:space="preserve">proposed </w:t>
      </w:r>
      <w:r w:rsidR="00E85EA1">
        <w:rPr>
          <w:rFonts w:eastAsia="Times New Roman"/>
        </w:rPr>
        <w:t xml:space="preserve">regulatory or </w:t>
      </w:r>
      <w:r w:rsidR="00BB6BB4">
        <w:rPr>
          <w:rFonts w:eastAsia="Times New Roman"/>
        </w:rPr>
        <w:t>legislative</w:t>
      </w:r>
      <w:r w:rsidR="00E85EA1">
        <w:rPr>
          <w:rFonts w:eastAsia="Times New Roman"/>
        </w:rPr>
        <w:t xml:space="preserve"> </w:t>
      </w:r>
      <w:r w:rsidR="00F22D79">
        <w:rPr>
          <w:rFonts w:eastAsia="Times New Roman"/>
        </w:rPr>
        <w:t xml:space="preserve">mechanism to manage uses of orphan works.  </w:t>
      </w:r>
      <w:r w:rsidR="00396009">
        <w:rPr>
          <w:rFonts w:eastAsia="Times New Roman"/>
        </w:rPr>
        <w:t xml:space="preserve">We </w:t>
      </w:r>
      <w:r w:rsidR="0006536B">
        <w:rPr>
          <w:rFonts w:eastAsia="Times New Roman"/>
        </w:rPr>
        <w:t>do wish to caution, however,</w:t>
      </w:r>
      <w:r w:rsidR="00F22D79">
        <w:rPr>
          <w:rFonts w:eastAsia="Times New Roman"/>
        </w:rPr>
        <w:t xml:space="preserve"> that any such </w:t>
      </w:r>
      <w:r w:rsidR="007F4900" w:rsidRPr="00F45646">
        <w:rPr>
          <w:rFonts w:eastAsia="Times New Roman"/>
        </w:rPr>
        <w:t xml:space="preserve">orphan works program </w:t>
      </w:r>
      <w:r w:rsidR="00C83760" w:rsidRPr="00F45646">
        <w:rPr>
          <w:rFonts w:eastAsia="Times New Roman"/>
        </w:rPr>
        <w:t xml:space="preserve">must </w:t>
      </w:r>
      <w:r w:rsidR="008724BC" w:rsidRPr="00F45646">
        <w:rPr>
          <w:rFonts w:eastAsia="Times New Roman"/>
        </w:rPr>
        <w:t xml:space="preserve">effectively balance the </w:t>
      </w:r>
      <w:r w:rsidR="00A577DB" w:rsidRPr="00F45646">
        <w:rPr>
          <w:rFonts w:eastAsia="Times New Roman"/>
        </w:rPr>
        <w:t xml:space="preserve">interests of copyright holders whose works might be </w:t>
      </w:r>
      <w:r w:rsidR="00A577DB">
        <w:rPr>
          <w:rFonts w:eastAsia="Times New Roman"/>
        </w:rPr>
        <w:t xml:space="preserve">mistakenly identified </w:t>
      </w:r>
      <w:r w:rsidR="00A577DB" w:rsidRPr="00F45646">
        <w:rPr>
          <w:rFonts w:eastAsia="Times New Roman"/>
        </w:rPr>
        <w:t xml:space="preserve">as orphan works </w:t>
      </w:r>
      <w:r w:rsidR="00A577DB">
        <w:rPr>
          <w:rFonts w:eastAsia="Times New Roman"/>
        </w:rPr>
        <w:t xml:space="preserve">against the </w:t>
      </w:r>
      <w:r w:rsidR="008724BC" w:rsidRPr="00F45646">
        <w:rPr>
          <w:rFonts w:eastAsia="Times New Roman"/>
        </w:rPr>
        <w:t xml:space="preserve">importance of </w:t>
      </w:r>
      <w:r w:rsidR="008E71F5">
        <w:rPr>
          <w:rFonts w:eastAsia="Times New Roman"/>
        </w:rPr>
        <w:t>enabling more vigorous uses of</w:t>
      </w:r>
      <w:r w:rsidR="008E71F5" w:rsidRPr="00F45646">
        <w:rPr>
          <w:rFonts w:eastAsia="Times New Roman"/>
        </w:rPr>
        <w:t xml:space="preserve"> </w:t>
      </w:r>
      <w:r w:rsidR="008724BC" w:rsidRPr="00F45646">
        <w:rPr>
          <w:rFonts w:eastAsia="Times New Roman"/>
        </w:rPr>
        <w:t xml:space="preserve">orphan works </w:t>
      </w:r>
      <w:r w:rsidR="008E71F5">
        <w:rPr>
          <w:rFonts w:eastAsia="Times New Roman"/>
        </w:rPr>
        <w:t>for the</w:t>
      </w:r>
      <w:r w:rsidR="00A577DB">
        <w:rPr>
          <w:rFonts w:eastAsia="Times New Roman"/>
        </w:rPr>
        <w:t xml:space="preserve"> public.  </w:t>
      </w:r>
      <w:r w:rsidR="0006536B">
        <w:rPr>
          <w:rFonts w:eastAsia="Times New Roman"/>
        </w:rPr>
        <w:t xml:space="preserve">Further, </w:t>
      </w:r>
      <w:r w:rsidR="00F233C2" w:rsidRPr="00F45646">
        <w:rPr>
          <w:rFonts w:eastAsia="Times New Roman"/>
        </w:rPr>
        <w:t xml:space="preserve">any </w:t>
      </w:r>
      <w:r w:rsidR="0099486F" w:rsidRPr="00F45646">
        <w:rPr>
          <w:rFonts w:eastAsia="Times New Roman"/>
        </w:rPr>
        <w:t xml:space="preserve">regulatory or legislative approach </w:t>
      </w:r>
      <w:r w:rsidR="00F233C2" w:rsidRPr="00F45646">
        <w:rPr>
          <w:rFonts w:eastAsia="Times New Roman"/>
        </w:rPr>
        <w:t>must</w:t>
      </w:r>
      <w:r w:rsidR="00F476FA" w:rsidRPr="00F45646">
        <w:rPr>
          <w:rFonts w:eastAsia="Times New Roman"/>
        </w:rPr>
        <w:t xml:space="preserve"> avoid excessive regulatory burdens that make effective use of orphan works infeasible and must</w:t>
      </w:r>
      <w:r w:rsidR="00F233C2" w:rsidRPr="00F45646">
        <w:rPr>
          <w:rFonts w:eastAsia="Times New Roman"/>
        </w:rPr>
        <w:t xml:space="preserve"> </w:t>
      </w:r>
      <w:r w:rsidR="0099486F" w:rsidRPr="00F45646">
        <w:rPr>
          <w:rFonts w:eastAsia="Times New Roman"/>
        </w:rPr>
        <w:t>be sensitive to the requirements and capacities of universities and other non</w:t>
      </w:r>
      <w:r w:rsidR="007E5149" w:rsidRPr="00F45646">
        <w:rPr>
          <w:rFonts w:eastAsia="Times New Roman"/>
        </w:rPr>
        <w:t>-</w:t>
      </w:r>
      <w:r w:rsidR="0099486F" w:rsidRPr="00F45646">
        <w:rPr>
          <w:rFonts w:eastAsia="Times New Roman"/>
        </w:rPr>
        <w:t xml:space="preserve">profit institutions and permit </w:t>
      </w:r>
      <w:r w:rsidR="0002165F" w:rsidRPr="00F45646">
        <w:rPr>
          <w:rFonts w:eastAsia="Times New Roman"/>
        </w:rPr>
        <w:t>appropriate tailoring</w:t>
      </w:r>
      <w:r w:rsidR="00F233C2" w:rsidRPr="00F45646">
        <w:rPr>
          <w:rFonts w:eastAsia="Times New Roman"/>
        </w:rPr>
        <w:t xml:space="preserve"> for differing circumstances</w:t>
      </w:r>
      <w:r w:rsidR="0099486F" w:rsidRPr="00F45646">
        <w:rPr>
          <w:rFonts w:eastAsia="Times New Roman"/>
        </w:rPr>
        <w:t>; for example, it should</w:t>
      </w:r>
      <w:r w:rsidR="00B15634" w:rsidRPr="00F45646">
        <w:rPr>
          <w:rFonts w:eastAsia="Times New Roman"/>
        </w:rPr>
        <w:t xml:space="preserve"> not</w:t>
      </w:r>
      <w:r w:rsidR="0099486F" w:rsidRPr="00F45646">
        <w:rPr>
          <w:rFonts w:eastAsia="Times New Roman"/>
        </w:rPr>
        <w:t xml:space="preserve"> </w:t>
      </w:r>
      <w:r w:rsidR="00F233C2" w:rsidRPr="00F45646">
        <w:rPr>
          <w:rFonts w:eastAsia="Times New Roman"/>
        </w:rPr>
        <w:t xml:space="preserve">specify procedures for </w:t>
      </w:r>
      <w:r w:rsidR="00C86B9D" w:rsidRPr="00F45646">
        <w:rPr>
          <w:rFonts w:eastAsia="Times New Roman"/>
        </w:rPr>
        <w:t xml:space="preserve">educational and research uses </w:t>
      </w:r>
      <w:r w:rsidR="00F233C2" w:rsidRPr="00F45646">
        <w:rPr>
          <w:rFonts w:eastAsia="Times New Roman"/>
        </w:rPr>
        <w:t>that</w:t>
      </w:r>
      <w:r w:rsidR="00524F72" w:rsidRPr="00F45646">
        <w:rPr>
          <w:rFonts w:eastAsia="Times New Roman"/>
        </w:rPr>
        <w:t xml:space="preserve"> </w:t>
      </w:r>
      <w:r w:rsidR="00F233C2" w:rsidRPr="00F45646">
        <w:rPr>
          <w:rFonts w:eastAsia="Times New Roman"/>
        </w:rPr>
        <w:t xml:space="preserve">would be more appropriate for commercial </w:t>
      </w:r>
      <w:r w:rsidR="0009629D" w:rsidRPr="00F45646">
        <w:rPr>
          <w:rFonts w:eastAsia="Times New Roman"/>
        </w:rPr>
        <w:t>entities</w:t>
      </w:r>
      <w:r w:rsidR="00F233C2" w:rsidRPr="00F45646">
        <w:rPr>
          <w:rFonts w:eastAsia="Times New Roman"/>
        </w:rPr>
        <w:t>.</w:t>
      </w:r>
    </w:p>
    <w:p w:rsidR="006D2B09" w:rsidRPr="00221E0A" w:rsidRDefault="00BA0671" w:rsidP="006D2B09">
      <w:pPr>
        <w:shd w:val="clear" w:color="auto" w:fill="FFFFFF"/>
        <w:spacing w:before="100" w:beforeAutospacing="1" w:after="240"/>
        <w:rPr>
          <w:rFonts w:eastAsia="Times New Roman"/>
          <w:b/>
          <w:u w:val="single"/>
        </w:rPr>
      </w:pPr>
      <w:r>
        <w:tab/>
      </w:r>
      <w:r w:rsidR="00374C60">
        <w:rPr>
          <w:rFonts w:eastAsia="Times New Roman"/>
          <w:b/>
          <w:u w:val="single"/>
        </w:rPr>
        <w:t>The Digital Millennium Copyright Act (DMCA)</w:t>
      </w:r>
    </w:p>
    <w:p w:rsidR="00374C60" w:rsidRPr="00F45646" w:rsidRDefault="00374C60" w:rsidP="00111A3B">
      <w:pPr>
        <w:shd w:val="clear" w:color="auto" w:fill="FFFFFF"/>
        <w:spacing w:before="100" w:beforeAutospacing="1" w:after="240"/>
        <w:ind w:firstLine="720"/>
        <w:rPr>
          <w:rFonts w:eastAsia="Times New Roman"/>
          <w:i/>
        </w:rPr>
      </w:pPr>
      <w:r>
        <w:rPr>
          <w:rFonts w:eastAsia="Times New Roman"/>
          <w:i/>
        </w:rPr>
        <w:t>Section 1201</w:t>
      </w:r>
    </w:p>
    <w:p w:rsidR="00726723" w:rsidRDefault="00CE5D65" w:rsidP="00CE5D65">
      <w:pPr>
        <w:shd w:val="clear" w:color="auto" w:fill="FFFFFF"/>
        <w:spacing w:before="100" w:beforeAutospacing="1" w:after="240"/>
        <w:ind w:firstLine="720"/>
        <w:rPr>
          <w:rFonts w:eastAsia="Times New Roman"/>
        </w:rPr>
      </w:pPr>
      <w:r>
        <w:rPr>
          <w:rFonts w:eastAsia="Times New Roman"/>
        </w:rPr>
        <w:t xml:space="preserve">The higher education associations remain concerned that Section 1201 is adversely affecting, and will continue to adversely affect, the ability of the educational community to access copyrighted works for the purpose of engaging in lawful, noninfringing uses of those works and/or using uncopyrighted materials integrated in those works.  Congress made clear that the Section 1201 </w:t>
      </w:r>
      <w:r w:rsidRPr="0075381F">
        <w:rPr>
          <w:rFonts w:eastAsia="Times New Roman"/>
        </w:rPr>
        <w:t>rulemaking</w:t>
      </w:r>
      <w:r>
        <w:rPr>
          <w:rFonts w:eastAsia="Times New Roman"/>
        </w:rPr>
        <w:t xml:space="preserve"> process was meant to temper the restrictive effects of</w:t>
      </w:r>
      <w:r w:rsidR="00FA3978">
        <w:rPr>
          <w:rFonts w:eastAsia="Times New Roman"/>
        </w:rPr>
        <w:t xml:space="preserve"> Section</w:t>
      </w:r>
      <w:r>
        <w:rPr>
          <w:rFonts w:eastAsia="Times New Roman"/>
        </w:rPr>
        <w:t xml:space="preserve"> 1201 by ensuring that access controls would not be used to impede users’ rights to use the copyrighted works in lawful, noninfringing ways.  </w:t>
      </w:r>
    </w:p>
    <w:p w:rsidR="00CE5D65" w:rsidRDefault="00CE5D65" w:rsidP="00CE5D65">
      <w:pPr>
        <w:shd w:val="clear" w:color="auto" w:fill="FFFFFF"/>
        <w:spacing w:before="100" w:beforeAutospacing="1" w:after="240"/>
        <w:ind w:firstLine="720"/>
        <w:rPr>
          <w:rFonts w:eastAsia="Times New Roman"/>
        </w:rPr>
      </w:pPr>
      <w:r>
        <w:rPr>
          <w:rFonts w:eastAsia="Times New Roman"/>
        </w:rPr>
        <w:t>Yet contrary to Congressional intent, the DMCA’s 1201 rulemaking provisions are not only unduly burdensome, but also require such unrealistically extreme evidence of harm that the procedure fails to provide any real relief to entities wishing to use such works in good faith.  Furthermore, the cumulative effect of Section 1201’s prohibition against circumvention of technological protection and the limited utility of the rulemaking in practice nullifies the fair use of any technologicall</w:t>
      </w:r>
      <w:r w:rsidR="00AE0E1D">
        <w:rPr>
          <w:rFonts w:eastAsia="Times New Roman"/>
        </w:rPr>
        <w:t xml:space="preserve">y protected copyrighted works: </w:t>
      </w:r>
      <w:r>
        <w:rPr>
          <w:rFonts w:eastAsia="Times New Roman"/>
        </w:rPr>
        <w:t xml:space="preserve">fair use enables use without </w:t>
      </w:r>
      <w:r>
        <w:rPr>
          <w:rFonts w:eastAsia="Times New Roman"/>
        </w:rPr>
        <w:lastRenderedPageBreak/>
        <w:t xml:space="preserve">permission, but the </w:t>
      </w:r>
      <w:r w:rsidR="001816FB">
        <w:rPr>
          <w:rFonts w:eastAsia="Times New Roman"/>
        </w:rPr>
        <w:t xml:space="preserve">Section </w:t>
      </w:r>
      <w:r>
        <w:rPr>
          <w:rFonts w:eastAsia="Times New Roman"/>
        </w:rPr>
        <w:t>1201 anti-circumvention provisions prevent access to a work whose use would otherwise be fair.</w:t>
      </w:r>
    </w:p>
    <w:p w:rsidR="00374C60" w:rsidRDefault="00F02373" w:rsidP="00F45646">
      <w:pPr>
        <w:shd w:val="clear" w:color="auto" w:fill="FFFFFF"/>
        <w:spacing w:before="100" w:beforeAutospacing="1" w:after="240"/>
        <w:ind w:firstLine="720"/>
        <w:rPr>
          <w:rFonts w:eastAsia="Times New Roman"/>
        </w:rPr>
      </w:pPr>
      <w:r>
        <w:rPr>
          <w:rFonts w:eastAsia="Times New Roman"/>
        </w:rPr>
        <w:t>We therefore</w:t>
      </w:r>
      <w:r w:rsidR="0075381F">
        <w:rPr>
          <w:rFonts w:eastAsia="Times New Roman"/>
        </w:rPr>
        <w:t xml:space="preserve"> respectfully u</w:t>
      </w:r>
      <w:r w:rsidR="00FF198F">
        <w:rPr>
          <w:rFonts w:eastAsia="Times New Roman"/>
        </w:rPr>
        <w:t xml:space="preserve">rge the Copyright Office to recommend, and the Librarian to adopt, </w:t>
      </w:r>
      <w:r w:rsidR="00CC17C4">
        <w:rPr>
          <w:rFonts w:eastAsia="Times New Roman"/>
        </w:rPr>
        <w:t>an</w:t>
      </w:r>
      <w:r w:rsidR="00FF198F">
        <w:rPr>
          <w:rFonts w:eastAsia="Times New Roman"/>
        </w:rPr>
        <w:t xml:space="preserve"> expansion of “classes of works” falling within the scope of Section 1201</w:t>
      </w:r>
      <w:r w:rsidR="00A87671">
        <w:rPr>
          <w:rFonts w:eastAsia="Times New Roman"/>
        </w:rPr>
        <w:t xml:space="preserve"> exempted works</w:t>
      </w:r>
      <w:r w:rsidR="00FF198F">
        <w:rPr>
          <w:rFonts w:eastAsia="Times New Roman"/>
        </w:rPr>
        <w:t xml:space="preserve">, in order to more closely and </w:t>
      </w:r>
      <w:r w:rsidR="00912938">
        <w:rPr>
          <w:rFonts w:eastAsia="Times New Roman"/>
        </w:rPr>
        <w:t>expediently</w:t>
      </w:r>
      <w:r w:rsidR="00FF198F">
        <w:rPr>
          <w:rFonts w:eastAsia="Times New Roman"/>
        </w:rPr>
        <w:t xml:space="preserve"> effectuate the purpose of Section 1201 as expressed in the sta</w:t>
      </w:r>
      <w:r w:rsidR="004E3675">
        <w:rPr>
          <w:rFonts w:eastAsia="Times New Roman"/>
        </w:rPr>
        <w:t>tut</w:t>
      </w:r>
      <w:r w:rsidR="00B116F2">
        <w:rPr>
          <w:rFonts w:eastAsia="Times New Roman"/>
        </w:rPr>
        <w:t xml:space="preserve">e and legislative history.  One such </w:t>
      </w:r>
      <w:r w:rsidR="004E3675">
        <w:rPr>
          <w:rFonts w:eastAsia="Times New Roman"/>
        </w:rPr>
        <w:t xml:space="preserve">class of exempt works could be </w:t>
      </w:r>
      <w:r w:rsidR="003A18F8">
        <w:rPr>
          <w:rFonts w:eastAsia="Times New Roman"/>
        </w:rPr>
        <w:t xml:space="preserve">lawfully-acquired </w:t>
      </w:r>
      <w:r w:rsidR="004E3675">
        <w:rPr>
          <w:rFonts w:eastAsia="Times New Roman"/>
        </w:rPr>
        <w:t>“</w:t>
      </w:r>
      <w:r w:rsidR="004E3675">
        <w:rPr>
          <w:rFonts w:eastAsia="Times New Roman"/>
          <w:i/>
        </w:rPr>
        <w:t>per se</w:t>
      </w:r>
      <w:r w:rsidR="00B23BE8">
        <w:rPr>
          <w:rFonts w:eastAsia="Times New Roman"/>
        </w:rPr>
        <w:t xml:space="preserve">” </w:t>
      </w:r>
      <w:r w:rsidR="004E3675">
        <w:rPr>
          <w:rFonts w:eastAsia="Times New Roman"/>
        </w:rPr>
        <w:t xml:space="preserve">educational </w:t>
      </w:r>
      <w:r w:rsidR="00B23BE8">
        <w:rPr>
          <w:rFonts w:eastAsia="Times New Roman"/>
        </w:rPr>
        <w:t>work</w:t>
      </w:r>
      <w:r w:rsidR="00011621">
        <w:rPr>
          <w:rFonts w:eastAsia="Times New Roman"/>
        </w:rPr>
        <w:t>s</w:t>
      </w:r>
      <w:r w:rsidR="00B23BE8">
        <w:rPr>
          <w:rFonts w:eastAsia="Times New Roman"/>
        </w:rPr>
        <w:t xml:space="preserve">, </w:t>
      </w:r>
      <w:r w:rsidR="004E3675">
        <w:rPr>
          <w:rFonts w:eastAsia="Times New Roman"/>
        </w:rPr>
        <w:t>comprising</w:t>
      </w:r>
      <w:r w:rsidR="00B116F2">
        <w:rPr>
          <w:rFonts w:eastAsia="Times New Roman"/>
        </w:rPr>
        <w:t xml:space="preserve">, for </w:t>
      </w:r>
      <w:r w:rsidR="00B452C3">
        <w:rPr>
          <w:rFonts w:eastAsia="Times New Roman"/>
        </w:rPr>
        <w:t>instance</w:t>
      </w:r>
      <w:r w:rsidR="00B116F2">
        <w:rPr>
          <w:rFonts w:eastAsia="Times New Roman"/>
        </w:rPr>
        <w:t xml:space="preserve">, </w:t>
      </w:r>
      <w:r w:rsidR="004E3675">
        <w:rPr>
          <w:rFonts w:eastAsia="Times New Roman"/>
        </w:rPr>
        <w:t>scientific and socia</w:t>
      </w:r>
      <w:r w:rsidR="00B5319F">
        <w:rPr>
          <w:rFonts w:eastAsia="Times New Roman"/>
        </w:rPr>
        <w:t>l science databases, academic monographs and treatises, law reports, an</w:t>
      </w:r>
      <w:r w:rsidR="00C46E71">
        <w:rPr>
          <w:rFonts w:eastAsia="Times New Roman"/>
        </w:rPr>
        <w:t xml:space="preserve">d educational audiovisual works; a “user and environment” restriction could be placed on such a list to </w:t>
      </w:r>
      <w:r w:rsidR="001F65FD">
        <w:rPr>
          <w:rFonts w:eastAsia="Times New Roman"/>
        </w:rPr>
        <w:t>curtail any possible abuses.</w:t>
      </w:r>
      <w:r w:rsidR="00DC7581">
        <w:rPr>
          <w:rFonts w:eastAsia="Times New Roman"/>
        </w:rPr>
        <w:t xml:space="preserve">  Another option might be to allow for presumptions in the </w:t>
      </w:r>
      <w:r w:rsidR="002E2374">
        <w:rPr>
          <w:rFonts w:eastAsia="Times New Roman"/>
        </w:rPr>
        <w:t xml:space="preserve">triennial </w:t>
      </w:r>
      <w:r w:rsidR="00DC7581">
        <w:rPr>
          <w:rFonts w:eastAsia="Times New Roman"/>
        </w:rPr>
        <w:t>rulemaking process</w:t>
      </w:r>
      <w:r w:rsidR="008E236F">
        <w:rPr>
          <w:rFonts w:eastAsia="Times New Roman"/>
        </w:rPr>
        <w:t>; that is, the fact that a class was previously designated could create a presumption that redesignation is appropriate.</w:t>
      </w:r>
    </w:p>
    <w:p w:rsidR="00FF198F" w:rsidRPr="00F45646" w:rsidRDefault="00647A5A" w:rsidP="008F7055">
      <w:pPr>
        <w:shd w:val="clear" w:color="auto" w:fill="FFFFFF"/>
        <w:spacing w:before="100" w:beforeAutospacing="1" w:after="240"/>
        <w:rPr>
          <w:rFonts w:eastAsia="Times New Roman"/>
          <w:b/>
        </w:rPr>
      </w:pPr>
      <w:r>
        <w:rPr>
          <w:rFonts w:eastAsia="Times New Roman"/>
        </w:rPr>
        <w:tab/>
      </w:r>
      <w:r w:rsidR="008F7055" w:rsidRPr="00F45646">
        <w:rPr>
          <w:rFonts w:eastAsia="Times New Roman"/>
          <w:b/>
          <w:u w:val="single"/>
        </w:rPr>
        <w:t>Importance of Open Access Options</w:t>
      </w:r>
      <w:r w:rsidR="00FF198F" w:rsidRPr="00F45646">
        <w:rPr>
          <w:rFonts w:eastAsia="Times New Roman"/>
          <w:b/>
        </w:rPr>
        <w:t xml:space="preserve"> </w:t>
      </w:r>
    </w:p>
    <w:p w:rsidR="00702F3B" w:rsidRPr="00F45646" w:rsidRDefault="00122C66" w:rsidP="00813DBC">
      <w:pPr>
        <w:shd w:val="clear" w:color="auto" w:fill="FFFFFF"/>
        <w:spacing w:before="100" w:beforeAutospacing="1" w:after="240"/>
        <w:rPr>
          <w:rFonts w:eastAsia="Times New Roman"/>
        </w:rPr>
      </w:pPr>
      <w:r w:rsidRPr="00F45646">
        <w:rPr>
          <w:rFonts w:eastAsia="Times New Roman"/>
        </w:rPr>
        <w:tab/>
      </w:r>
      <w:r w:rsidR="006F5BB1">
        <w:rPr>
          <w:rFonts w:eastAsia="Times New Roman"/>
        </w:rPr>
        <w:t>The higher education associations wish to take this opportunity to reiterate our goal of creating lawful, noninfringing new opportunities for expanded public access to scholarly publications.  W</w:t>
      </w:r>
      <w:r w:rsidR="001F18DC">
        <w:rPr>
          <w:rFonts w:eastAsia="Times New Roman"/>
        </w:rPr>
        <w:t xml:space="preserve">e share this aim with President </w:t>
      </w:r>
      <w:r w:rsidR="007002C9">
        <w:rPr>
          <w:rFonts w:eastAsia="Times New Roman"/>
        </w:rPr>
        <w:t xml:space="preserve">Barack </w:t>
      </w:r>
      <w:r w:rsidR="006F5BB1">
        <w:rPr>
          <w:rFonts w:eastAsia="Times New Roman"/>
        </w:rPr>
        <w:t xml:space="preserve">Obama’s Administration, which articulated corresponding public access policies in the Office of Science and Technology Policy’s February 2013 </w:t>
      </w:r>
      <w:r w:rsidR="006F5BB1" w:rsidRPr="00325F2C">
        <w:rPr>
          <w:rFonts w:eastAsia="Times New Roman"/>
          <w:i/>
        </w:rPr>
        <w:t>Memorandum on Increasing Access to the Results of Federally Funded Scientific Research</w:t>
      </w:r>
      <w:r w:rsidR="006F5BB1">
        <w:rPr>
          <w:rFonts w:eastAsia="Times New Roman"/>
        </w:rPr>
        <w:t>.</w:t>
      </w:r>
      <w:r w:rsidR="005A57D1">
        <w:rPr>
          <w:rStyle w:val="FootnoteReference"/>
          <w:rFonts w:eastAsia="Times New Roman"/>
        </w:rPr>
        <w:footnoteReference w:id="10"/>
      </w:r>
      <w:r w:rsidR="006F5BB1">
        <w:rPr>
          <w:rFonts w:eastAsia="Times New Roman"/>
        </w:rPr>
        <w:t xml:space="preserve">  Research universities have a mission to create and build upon new knowledge, broadly disseminate the results of their research, and preserve information for future generations.  </w:t>
      </w:r>
    </w:p>
    <w:p w:rsidR="0037156C" w:rsidRPr="00122C66" w:rsidRDefault="00AD091C" w:rsidP="0037156C">
      <w:pPr>
        <w:shd w:val="clear" w:color="auto" w:fill="FFFFFF"/>
        <w:spacing w:before="100" w:beforeAutospacing="1" w:after="240"/>
        <w:ind w:firstLine="720"/>
        <w:rPr>
          <w:rFonts w:eastAsia="Times New Roman"/>
        </w:rPr>
      </w:pPr>
      <w:r>
        <w:rPr>
          <w:rFonts w:eastAsia="Times New Roman"/>
        </w:rPr>
        <w:t>Although</w:t>
      </w:r>
      <w:r w:rsidR="0037156C">
        <w:rPr>
          <w:rFonts w:eastAsia="Times New Roman"/>
        </w:rPr>
        <w:t xml:space="preserve"> peer-reviewed scientific and scholarly publications have served researchers and scholars well by making high-quality articles broadly available, the price of some journals has risen far beyond reasonable costs, placing a tremendous burden on research libraries and individual subscribers and restricting access to new knowledge.  Digital technologies have enabled new ways to disseminate and preserve the results of research and scholarship.  These technologies, coupled with enlightened public access policie</w:t>
      </w:r>
      <w:r w:rsidR="006E1F3B">
        <w:rPr>
          <w:rFonts w:eastAsia="Times New Roman"/>
        </w:rPr>
        <w:t>s such as those espoused by OST</w:t>
      </w:r>
      <w:r w:rsidR="006F6AD0">
        <w:rPr>
          <w:rFonts w:eastAsia="Times New Roman"/>
        </w:rPr>
        <w:t>P, can both reduce</w:t>
      </w:r>
      <w:r w:rsidR="0037156C">
        <w:rPr>
          <w:rFonts w:eastAsia="Times New Roman"/>
        </w:rPr>
        <w:t xml:space="preserve"> the cost and increase the dissemination of research and scholarship.  It is im</w:t>
      </w:r>
      <w:r w:rsidR="005B7AA5">
        <w:rPr>
          <w:rFonts w:eastAsia="Times New Roman"/>
        </w:rPr>
        <w:t>perative that publishers</w:t>
      </w:r>
      <w:r w:rsidR="005B7AA5" w:rsidRPr="00F45646">
        <w:rPr>
          <w:rFonts w:eastAsia="Times New Roman"/>
        </w:rPr>
        <w:t>—</w:t>
      </w:r>
      <w:r w:rsidR="0037156C">
        <w:rPr>
          <w:rFonts w:eastAsia="Times New Roman"/>
        </w:rPr>
        <w:t>commercial and non-pro</w:t>
      </w:r>
      <w:r w:rsidR="005B7AA5">
        <w:rPr>
          <w:rFonts w:eastAsia="Times New Roman"/>
        </w:rPr>
        <w:t>fit academic publishers alike</w:t>
      </w:r>
      <w:r w:rsidR="005B7AA5" w:rsidRPr="00F45646">
        <w:rPr>
          <w:rFonts w:eastAsia="Times New Roman"/>
        </w:rPr>
        <w:t>—</w:t>
      </w:r>
      <w:r w:rsidR="0037156C">
        <w:rPr>
          <w:rFonts w:eastAsia="Times New Roman"/>
        </w:rPr>
        <w:t xml:space="preserve">accommodate their copyright policies to enable the benefits of digital publishing to be realized fully.  Novel approaches to rights </w:t>
      </w:r>
      <w:r w:rsidR="006E1F3B">
        <w:rPr>
          <w:rFonts w:eastAsia="Times New Roman"/>
        </w:rPr>
        <w:t xml:space="preserve">protection, </w:t>
      </w:r>
      <w:r w:rsidR="0037156C">
        <w:rPr>
          <w:rFonts w:eastAsia="Times New Roman"/>
        </w:rPr>
        <w:t xml:space="preserve">such </w:t>
      </w:r>
      <w:r w:rsidR="006E1F3B">
        <w:rPr>
          <w:rFonts w:eastAsia="Times New Roman"/>
        </w:rPr>
        <w:t xml:space="preserve">as </w:t>
      </w:r>
      <w:r w:rsidR="0037156C">
        <w:rPr>
          <w:rFonts w:eastAsia="Times New Roman"/>
        </w:rPr>
        <w:t>the Creative Commons licenses that allow authors themselves to determine which protections, if any, they wa</w:t>
      </w:r>
      <w:r w:rsidR="006E1F3B">
        <w:rPr>
          <w:rFonts w:eastAsia="Times New Roman"/>
        </w:rPr>
        <w:t xml:space="preserve">nt to apply to their works, </w:t>
      </w:r>
      <w:r w:rsidR="0037156C">
        <w:rPr>
          <w:rFonts w:eastAsia="Times New Roman"/>
        </w:rPr>
        <w:t xml:space="preserve">creatively advance the fundamental goals of copyright.  The higher education associations caution that any updates or revisions to the copyright law should not erode or allow others to impinge upon these alternative approaches to constituting and organizing intellectual property dynamics. </w:t>
      </w:r>
    </w:p>
    <w:p w:rsidR="00C46AC6" w:rsidRPr="00F45646" w:rsidRDefault="00953608" w:rsidP="00953608">
      <w:pPr>
        <w:shd w:val="clear" w:color="auto" w:fill="FFFFFF"/>
        <w:spacing w:before="100" w:beforeAutospacing="1" w:after="240"/>
        <w:jc w:val="center"/>
        <w:rPr>
          <w:rFonts w:eastAsia="Times New Roman"/>
        </w:rPr>
      </w:pPr>
      <w:r w:rsidRPr="00F45646">
        <w:rPr>
          <w:rFonts w:eastAsia="Times New Roman"/>
        </w:rPr>
        <w:t>********************</w:t>
      </w:r>
    </w:p>
    <w:p w:rsidR="00BE2E1B" w:rsidRPr="006D3DA4" w:rsidRDefault="00ED7C99" w:rsidP="006D3DA4">
      <w:pPr>
        <w:shd w:val="clear" w:color="auto" w:fill="FFFFFF"/>
        <w:spacing w:before="100" w:beforeAutospacing="1" w:after="100" w:afterAutospacing="1"/>
        <w:ind w:firstLine="720"/>
        <w:rPr>
          <w:rFonts w:eastAsia="Times New Roman"/>
        </w:rPr>
      </w:pPr>
      <w:r>
        <w:rPr>
          <w:rFonts w:eastAsia="Times New Roman"/>
        </w:rPr>
        <w:t>The</w:t>
      </w:r>
      <w:r w:rsidRPr="00D828B4">
        <w:rPr>
          <w:rFonts w:eastAsia="Times New Roman"/>
        </w:rPr>
        <w:t xml:space="preserve"> Constitutional purpose of copyright law is to promote learning</w:t>
      </w:r>
      <w:r>
        <w:rPr>
          <w:rFonts w:eastAsia="Times New Roman"/>
        </w:rPr>
        <w:t xml:space="preserve"> and creative expression</w:t>
      </w:r>
      <w:r w:rsidRPr="00D828B4">
        <w:rPr>
          <w:rFonts w:eastAsia="Times New Roman"/>
        </w:rPr>
        <w:t xml:space="preserve">.  </w:t>
      </w:r>
      <w:r w:rsidR="00CC3A0F">
        <w:rPr>
          <w:rFonts w:eastAsia="Times New Roman"/>
        </w:rPr>
        <w:t xml:space="preserve">The </w:t>
      </w:r>
      <w:r w:rsidR="00A57362">
        <w:rPr>
          <w:rFonts w:eastAsia="Times New Roman"/>
        </w:rPr>
        <w:t xml:space="preserve">considered </w:t>
      </w:r>
      <w:r w:rsidR="00C9628B">
        <w:rPr>
          <w:rFonts w:eastAsia="Times New Roman"/>
        </w:rPr>
        <w:t>constellation</w:t>
      </w:r>
      <w:r>
        <w:rPr>
          <w:rFonts w:eastAsia="Times New Roman"/>
        </w:rPr>
        <w:t xml:space="preserve"> of exclusive rights, balanced by f</w:t>
      </w:r>
      <w:r w:rsidRPr="00D828B4">
        <w:rPr>
          <w:rFonts w:eastAsia="Times New Roman"/>
        </w:rPr>
        <w:t xml:space="preserve">air use and </w:t>
      </w:r>
      <w:r>
        <w:rPr>
          <w:rFonts w:eastAsia="Times New Roman"/>
        </w:rPr>
        <w:t xml:space="preserve">carefully calibrated </w:t>
      </w:r>
      <w:r w:rsidRPr="00D828B4">
        <w:rPr>
          <w:rFonts w:eastAsia="Times New Roman"/>
        </w:rPr>
        <w:t>limitations</w:t>
      </w:r>
      <w:r>
        <w:rPr>
          <w:rFonts w:eastAsia="Times New Roman"/>
        </w:rPr>
        <w:t xml:space="preserve"> on those rights,</w:t>
      </w:r>
      <w:r w:rsidRPr="00D828B4">
        <w:rPr>
          <w:rFonts w:eastAsia="Times New Roman"/>
        </w:rPr>
        <w:t xml:space="preserve"> </w:t>
      </w:r>
      <w:r w:rsidR="00542709">
        <w:rPr>
          <w:rFonts w:eastAsia="Times New Roman"/>
        </w:rPr>
        <w:t>is integral to</w:t>
      </w:r>
      <w:r w:rsidRPr="00D828B4">
        <w:rPr>
          <w:rFonts w:eastAsia="Times New Roman"/>
        </w:rPr>
        <w:t xml:space="preserve"> achieving this purpose.  Without these checks and balances in the copyright law, educational, scholarship, and research opportunities would be lost</w:t>
      </w:r>
      <w:r w:rsidR="00331536">
        <w:rPr>
          <w:rFonts w:eastAsia="Times New Roman"/>
        </w:rPr>
        <w:t>,</w:t>
      </w:r>
      <w:r w:rsidRPr="00D828B4">
        <w:rPr>
          <w:rFonts w:eastAsia="Times New Roman"/>
        </w:rPr>
        <w:t xml:space="preserve"> to the detriment of students, scholars</w:t>
      </w:r>
      <w:r>
        <w:rPr>
          <w:rFonts w:eastAsia="Times New Roman"/>
        </w:rPr>
        <w:t>,</w:t>
      </w:r>
      <w:r w:rsidRPr="00D828B4">
        <w:rPr>
          <w:rFonts w:eastAsia="Times New Roman"/>
        </w:rPr>
        <w:t xml:space="preserve"> and researchers at America’</w:t>
      </w:r>
      <w:r w:rsidR="009C2EF9">
        <w:rPr>
          <w:rFonts w:eastAsia="Times New Roman"/>
        </w:rPr>
        <w:t>s higher education institutions</w:t>
      </w:r>
      <w:r w:rsidRPr="00D828B4">
        <w:rPr>
          <w:rFonts w:eastAsia="Times New Roman"/>
        </w:rPr>
        <w:t xml:space="preserve"> and to the detriment of our nation</w:t>
      </w:r>
      <w:r>
        <w:rPr>
          <w:rFonts w:eastAsia="Times New Roman"/>
        </w:rPr>
        <w:t>,</w:t>
      </w:r>
      <w:r w:rsidRPr="00D828B4">
        <w:rPr>
          <w:rFonts w:eastAsia="Times New Roman"/>
        </w:rPr>
        <w:t xml:space="preserve"> its economy</w:t>
      </w:r>
      <w:r>
        <w:rPr>
          <w:rFonts w:eastAsia="Times New Roman"/>
        </w:rPr>
        <w:t>, and the quality of life of our citizens</w:t>
      </w:r>
      <w:r w:rsidRPr="00D828B4">
        <w:rPr>
          <w:rFonts w:eastAsia="Times New Roman"/>
        </w:rPr>
        <w:t>.  Higher education requires flexibility rather than too-narrow or overly-prescriptive</w:t>
      </w:r>
      <w:r w:rsidR="0067440E">
        <w:rPr>
          <w:rFonts w:eastAsia="Times New Roman"/>
        </w:rPr>
        <w:t xml:space="preserve"> exemptions for research, schola</w:t>
      </w:r>
      <w:r w:rsidRPr="00D828B4">
        <w:rPr>
          <w:rFonts w:eastAsia="Times New Roman"/>
        </w:rPr>
        <w:t>rship, and teaching.  A loss of this flexibility</w:t>
      </w:r>
      <w:r>
        <w:rPr>
          <w:rFonts w:eastAsia="Times New Roman"/>
        </w:rPr>
        <w:t xml:space="preserve"> </w:t>
      </w:r>
      <w:r w:rsidRPr="00D828B4">
        <w:rPr>
          <w:rFonts w:eastAsia="Times New Roman"/>
        </w:rPr>
        <w:t>would impede teaching, learning, research, and scholarship, the very “Progress of Science” the founders intended copyright to promote.</w:t>
      </w:r>
    </w:p>
    <w:sectPr w:rsidR="00BE2E1B" w:rsidRPr="006D3DA4" w:rsidSect="00EE32D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1D" w:rsidRDefault="0040061D" w:rsidP="00F55278">
      <w:r>
        <w:separator/>
      </w:r>
    </w:p>
  </w:endnote>
  <w:endnote w:type="continuationSeparator" w:id="0">
    <w:p w:rsidR="0040061D" w:rsidRDefault="0040061D" w:rsidP="00F5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ED" w:rsidRDefault="005E2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rPr>
        <w:sz w:val="20"/>
        <w:szCs w:val="20"/>
      </w:rPr>
      <w:id w:val="-1476367318"/>
      <w:docPartObj>
        <w:docPartGallery w:val="Page Numbers (Bottom of Page)"/>
        <w:docPartUnique/>
      </w:docPartObj>
    </w:sdtPr>
    <w:sdtEndPr>
      <w:rPr>
        <w:noProof/>
      </w:rPr>
    </w:sdtEndPr>
    <w:sdtContent>
      <w:p w:rsidR="00F22D79" w:rsidRPr="00E668B9" w:rsidRDefault="00F22D79">
        <w:pPr>
          <w:pStyle w:val="Footer"/>
          <w:jc w:val="center"/>
          <w:rPr>
            <w:sz w:val="20"/>
            <w:szCs w:val="20"/>
          </w:rPr>
        </w:pPr>
        <w:r w:rsidRPr="00E668B9">
          <w:rPr>
            <w:sz w:val="20"/>
            <w:szCs w:val="20"/>
          </w:rPr>
          <w:fldChar w:fldCharType="begin"/>
        </w:r>
        <w:r w:rsidRPr="00E668B9">
          <w:rPr>
            <w:sz w:val="20"/>
            <w:szCs w:val="20"/>
          </w:rPr>
          <w:instrText xml:space="preserve"> PAGE   \* MERGEFORMAT </w:instrText>
        </w:r>
        <w:r w:rsidRPr="00E668B9">
          <w:rPr>
            <w:sz w:val="20"/>
            <w:szCs w:val="20"/>
          </w:rPr>
          <w:fldChar w:fldCharType="separate"/>
        </w:r>
        <w:r w:rsidR="00E668B9">
          <w:rPr>
            <w:noProof/>
            <w:sz w:val="20"/>
            <w:szCs w:val="20"/>
          </w:rPr>
          <w:t>1</w:t>
        </w:r>
        <w:r w:rsidRPr="00E668B9">
          <w:rPr>
            <w:noProof/>
            <w:sz w:val="20"/>
            <w:szCs w:val="20"/>
          </w:rPr>
          <w:fldChar w:fldCharType="end"/>
        </w:r>
      </w:p>
    </w:sdtContent>
  </w:sdt>
  <w:bookmarkEnd w:id="0"/>
  <w:p w:rsidR="00F22D79" w:rsidRDefault="00F22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ED" w:rsidRDefault="005E2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1D" w:rsidRDefault="0040061D" w:rsidP="00F55278">
      <w:r>
        <w:separator/>
      </w:r>
    </w:p>
  </w:footnote>
  <w:footnote w:type="continuationSeparator" w:id="0">
    <w:p w:rsidR="0040061D" w:rsidRDefault="0040061D" w:rsidP="00F55278">
      <w:r>
        <w:continuationSeparator/>
      </w:r>
    </w:p>
  </w:footnote>
  <w:footnote w:id="1">
    <w:p w:rsidR="00F22D79" w:rsidRPr="00C50E3E" w:rsidRDefault="00F22D79" w:rsidP="00753EC9">
      <w:pPr>
        <w:pStyle w:val="FootnoteText"/>
        <w:rPr>
          <w:i/>
          <w:iCs/>
          <w:sz w:val="20"/>
          <w:szCs w:val="20"/>
        </w:rPr>
      </w:pPr>
      <w:r w:rsidRPr="00C50E3E">
        <w:rPr>
          <w:rStyle w:val="FootnoteReference"/>
          <w:sz w:val="20"/>
          <w:szCs w:val="20"/>
        </w:rPr>
        <w:footnoteRef/>
      </w:r>
      <w:r w:rsidRPr="00C50E3E">
        <w:rPr>
          <w:sz w:val="20"/>
          <w:szCs w:val="20"/>
        </w:rPr>
        <w:t xml:space="preserve"> To be clear, as the higher education associations noted in their </w:t>
      </w:r>
      <w:r w:rsidRPr="00C50E3E">
        <w:rPr>
          <w:i/>
          <w:sz w:val="20"/>
          <w:szCs w:val="20"/>
        </w:rPr>
        <w:t xml:space="preserve">amicus </w:t>
      </w:r>
      <w:r w:rsidRPr="00C50E3E">
        <w:rPr>
          <w:sz w:val="20"/>
          <w:szCs w:val="20"/>
        </w:rPr>
        <w:t xml:space="preserve">brief in </w:t>
      </w:r>
      <w:r w:rsidR="00026C8E" w:rsidRPr="00C50E3E">
        <w:rPr>
          <w:iCs/>
          <w:sz w:val="20"/>
          <w:szCs w:val="20"/>
          <w:u w:val="single"/>
        </w:rPr>
        <w:t>Cambridge University Press v. Patton</w:t>
      </w:r>
      <w:r w:rsidR="00026C8E" w:rsidRPr="00C50E3E">
        <w:rPr>
          <w:iCs/>
          <w:sz w:val="20"/>
          <w:szCs w:val="20"/>
        </w:rPr>
        <w:t xml:space="preserve">, at 30, No. 12-14676 (11th Cir., Oct. 17, 2014), </w:t>
      </w:r>
      <w:r w:rsidR="00AF0217" w:rsidRPr="00C50E3E">
        <w:rPr>
          <w:i/>
          <w:iCs/>
          <w:sz w:val="20"/>
          <w:szCs w:val="20"/>
        </w:rPr>
        <w:t xml:space="preserve">available at </w:t>
      </w:r>
      <w:hyperlink r:id="rId1" w:history="1">
        <w:r w:rsidR="00AF0217" w:rsidRPr="00C50E3E">
          <w:rPr>
            <w:rStyle w:val="Hyperlink"/>
            <w:iCs/>
            <w:color w:val="auto"/>
            <w:sz w:val="20"/>
            <w:szCs w:val="20"/>
          </w:rPr>
          <w:t>http://www.acenet.edu/news-room/Documents/GSU-AmicusBrief.pdf</w:t>
        </w:r>
      </w:hyperlink>
      <w:r w:rsidR="00AF0217" w:rsidRPr="00C50E3E">
        <w:rPr>
          <w:i/>
          <w:iCs/>
          <w:sz w:val="20"/>
          <w:szCs w:val="20"/>
        </w:rPr>
        <w:t xml:space="preserve">, </w:t>
      </w:r>
      <w:r w:rsidRPr="00C50E3E">
        <w:rPr>
          <w:sz w:val="20"/>
          <w:szCs w:val="20"/>
        </w:rPr>
        <w:t>academic works are typically created with the author’s expectation that they will be widely disseminated and discussed for the purpose of scholarship.  Academic authors do not look to the economic incentives of copyright protection to induce them to create.  Even for such works, however, copyright remains an important means of protecting the integrity of academic works and ensuring appropriate attribution.</w:t>
      </w:r>
    </w:p>
  </w:footnote>
  <w:footnote w:id="2">
    <w:p w:rsidR="00F22D79" w:rsidRPr="00C50E3E" w:rsidRDefault="00F22D79" w:rsidP="00753EC9">
      <w:pPr>
        <w:pStyle w:val="FootnoteText"/>
        <w:rPr>
          <w:sz w:val="20"/>
          <w:szCs w:val="20"/>
        </w:rPr>
      </w:pPr>
      <w:r w:rsidRPr="00C50E3E">
        <w:rPr>
          <w:rStyle w:val="FootnoteReference"/>
          <w:sz w:val="20"/>
          <w:szCs w:val="20"/>
        </w:rPr>
        <w:footnoteRef/>
      </w:r>
      <w:r w:rsidRPr="00C50E3E">
        <w:rPr>
          <w:sz w:val="20"/>
          <w:szCs w:val="20"/>
        </w:rPr>
        <w:t xml:space="preserve"> These rights include the right to reproduce (i.e., make c</w:t>
      </w:r>
      <w:r w:rsidR="00A93C1F" w:rsidRPr="00C50E3E">
        <w:rPr>
          <w:sz w:val="20"/>
          <w:szCs w:val="20"/>
        </w:rPr>
        <w:t>opies) of a work; creat</w:t>
      </w:r>
      <w:r w:rsidRPr="00C50E3E">
        <w:rPr>
          <w:sz w:val="20"/>
          <w:szCs w:val="20"/>
        </w:rPr>
        <w:t>e derivative works based on the work; distribute copies of the work; publicly display the work; perform the work; and, for sound recordings, to perform the work publicly by means of a digital audio transmission.</w:t>
      </w:r>
    </w:p>
  </w:footnote>
  <w:footnote w:id="3">
    <w:p w:rsidR="00F22D79" w:rsidRPr="00C50E3E" w:rsidRDefault="00F22D79" w:rsidP="00753EC9">
      <w:pPr>
        <w:pStyle w:val="FootnoteText"/>
        <w:rPr>
          <w:sz w:val="20"/>
          <w:szCs w:val="20"/>
        </w:rPr>
      </w:pPr>
      <w:r w:rsidRPr="00C50E3E">
        <w:rPr>
          <w:rStyle w:val="FootnoteReference"/>
          <w:sz w:val="20"/>
          <w:szCs w:val="20"/>
        </w:rPr>
        <w:footnoteRef/>
      </w:r>
      <w:r w:rsidRPr="00C50E3E">
        <w:rPr>
          <w:sz w:val="20"/>
          <w:szCs w:val="20"/>
        </w:rPr>
        <w:t xml:space="preserve"> As will be discussed below, other limitations on a copyright holder’s rights that authorize educatio</w:t>
      </w:r>
      <w:r w:rsidR="009958FE" w:rsidRPr="00C50E3E">
        <w:rPr>
          <w:sz w:val="20"/>
          <w:szCs w:val="20"/>
        </w:rPr>
        <w:t>nal uses in the copyright law</w:t>
      </w:r>
      <w:r w:rsidR="009958FE" w:rsidRPr="00C50E3E">
        <w:rPr>
          <w:rFonts w:eastAsia="Times New Roman"/>
          <w:sz w:val="20"/>
          <w:szCs w:val="20"/>
        </w:rPr>
        <w:t>—</w:t>
      </w:r>
      <w:r w:rsidRPr="00C50E3E">
        <w:rPr>
          <w:sz w:val="20"/>
          <w:szCs w:val="20"/>
        </w:rPr>
        <w:t>such as Section 110(2) (codified as the TEACH Act)</w:t>
      </w:r>
      <w:r w:rsidR="002B2344" w:rsidRPr="00C50E3E">
        <w:rPr>
          <w:rFonts w:eastAsia="Times New Roman"/>
          <w:sz w:val="20"/>
          <w:szCs w:val="20"/>
        </w:rPr>
        <w:t>—</w:t>
      </w:r>
      <w:r w:rsidRPr="00C50E3E">
        <w:rPr>
          <w:sz w:val="20"/>
          <w:szCs w:val="20"/>
        </w:rPr>
        <w:t xml:space="preserve">are so narrow and unwieldy that they must be used in conjunction with fair use in order to be of any real practical value to educators and scholars. </w:t>
      </w:r>
    </w:p>
  </w:footnote>
  <w:footnote w:id="4">
    <w:p w:rsidR="00F22D79" w:rsidRPr="00C50E3E" w:rsidRDefault="00F22D79" w:rsidP="00753EC9">
      <w:pPr>
        <w:pStyle w:val="FootnoteText"/>
        <w:rPr>
          <w:sz w:val="20"/>
          <w:szCs w:val="20"/>
        </w:rPr>
      </w:pPr>
      <w:r w:rsidRPr="00C50E3E">
        <w:rPr>
          <w:rStyle w:val="FootnoteReference"/>
          <w:sz w:val="20"/>
          <w:szCs w:val="20"/>
        </w:rPr>
        <w:footnoteRef/>
      </w:r>
      <w:r w:rsidRPr="00C50E3E">
        <w:rPr>
          <w:sz w:val="20"/>
          <w:szCs w:val="20"/>
        </w:rPr>
        <w:t xml:space="preserve"> </w:t>
      </w:r>
      <w:r w:rsidRPr="00C50E3E">
        <w:rPr>
          <w:rFonts w:eastAsia="Times New Roman"/>
          <w:color w:val="000000"/>
          <w:sz w:val="20"/>
          <w:szCs w:val="20"/>
        </w:rPr>
        <w:t>“The</w:t>
      </w:r>
      <w:r w:rsidRPr="00C50E3E">
        <w:rPr>
          <w:rFonts w:eastAsia="Times New Roman"/>
          <w:sz w:val="20"/>
          <w:szCs w:val="20"/>
        </w:rPr>
        <w:t xml:space="preserve"> copyright law, like the patent statutes, makes reward to the owner a secondary consideration.”  </w:t>
      </w:r>
      <w:r w:rsidRPr="00C50E3E">
        <w:rPr>
          <w:rFonts w:eastAsia="Times New Roman"/>
          <w:sz w:val="20"/>
          <w:szCs w:val="20"/>
          <w:u w:val="single"/>
        </w:rPr>
        <w:t>United States v. Paramount Pictures, Inc</w:t>
      </w:r>
      <w:r w:rsidRPr="00C50E3E">
        <w:rPr>
          <w:rFonts w:eastAsia="Times New Roman"/>
          <w:i/>
          <w:sz w:val="20"/>
          <w:szCs w:val="20"/>
        </w:rPr>
        <w:t>.</w:t>
      </w:r>
      <w:r w:rsidRPr="00C50E3E">
        <w:rPr>
          <w:rFonts w:eastAsia="Times New Roman"/>
          <w:sz w:val="20"/>
          <w:szCs w:val="20"/>
        </w:rPr>
        <w:t xml:space="preserve">, 334 U.S. 131 (1948); </w:t>
      </w:r>
      <w:r w:rsidRPr="00C50E3E">
        <w:rPr>
          <w:rFonts w:eastAsia="Times New Roman"/>
          <w:i/>
          <w:sz w:val="20"/>
          <w:szCs w:val="20"/>
        </w:rPr>
        <w:t xml:space="preserve">see also </w:t>
      </w:r>
      <w:r w:rsidRPr="00C50E3E">
        <w:rPr>
          <w:sz w:val="20"/>
          <w:szCs w:val="20"/>
          <w:u w:val="single"/>
        </w:rPr>
        <w:t>Sony Corp. of Am. V. University City Studios, Inc.</w:t>
      </w:r>
      <w:r w:rsidRPr="00C50E3E">
        <w:rPr>
          <w:sz w:val="20"/>
          <w:szCs w:val="20"/>
        </w:rPr>
        <w:t>, 464 U.S. 417, 429 (1984) (“The monopoly privileges that Congress may authorize are neither unlimited nor primarily designed to provide a special benefit.  Rather, the limited grant is a means by which an important public purpose may be achieved.”).</w:t>
      </w:r>
    </w:p>
  </w:footnote>
  <w:footnote w:id="5">
    <w:p w:rsidR="00F22D79" w:rsidRPr="00C50E3E" w:rsidRDefault="00F22D79" w:rsidP="00753EC9">
      <w:pPr>
        <w:pStyle w:val="FootnoteText"/>
        <w:rPr>
          <w:iCs/>
          <w:sz w:val="20"/>
          <w:szCs w:val="20"/>
        </w:rPr>
      </w:pPr>
      <w:r w:rsidRPr="00C50E3E">
        <w:rPr>
          <w:rStyle w:val="FootnoteReference"/>
          <w:sz w:val="20"/>
          <w:szCs w:val="20"/>
        </w:rPr>
        <w:footnoteRef/>
      </w:r>
      <w:r w:rsidRPr="00C50E3E">
        <w:rPr>
          <w:sz w:val="20"/>
          <w:szCs w:val="20"/>
        </w:rPr>
        <w:t xml:space="preserve"> </w:t>
      </w:r>
      <w:r w:rsidR="008E34F7" w:rsidRPr="00C50E3E">
        <w:rPr>
          <w:iCs/>
          <w:sz w:val="20"/>
          <w:szCs w:val="20"/>
          <w:u w:val="single"/>
        </w:rPr>
        <w:t>Cambridge University Press v. Patton</w:t>
      </w:r>
      <w:r w:rsidR="008E34F7" w:rsidRPr="00C50E3E">
        <w:rPr>
          <w:iCs/>
          <w:sz w:val="20"/>
          <w:szCs w:val="20"/>
        </w:rPr>
        <w:t>, at 18, No. 12-14676 (11th Cir., Oct. 17, 2014).</w:t>
      </w:r>
    </w:p>
  </w:footnote>
  <w:footnote w:id="6">
    <w:p w:rsidR="00F22D79" w:rsidRPr="00C50E3E" w:rsidRDefault="00F22D79" w:rsidP="00753EC9">
      <w:pPr>
        <w:pStyle w:val="FootnoteText"/>
        <w:rPr>
          <w:sz w:val="20"/>
          <w:szCs w:val="20"/>
        </w:rPr>
      </w:pPr>
      <w:r w:rsidRPr="00C50E3E">
        <w:rPr>
          <w:rStyle w:val="FootnoteReference"/>
          <w:sz w:val="20"/>
          <w:szCs w:val="20"/>
        </w:rPr>
        <w:footnoteRef/>
      </w:r>
      <w:r w:rsidRPr="00C50E3E">
        <w:rPr>
          <w:sz w:val="20"/>
          <w:szCs w:val="20"/>
        </w:rPr>
        <w:t xml:space="preserve"> </w:t>
      </w:r>
      <w:r w:rsidR="00C7577A">
        <w:rPr>
          <w:i/>
          <w:iCs/>
          <w:sz w:val="20"/>
          <w:szCs w:val="20"/>
        </w:rPr>
        <w:t>Id.</w:t>
      </w:r>
      <w:r w:rsidR="00EA788C" w:rsidRPr="00C50E3E">
        <w:rPr>
          <w:iCs/>
          <w:sz w:val="20"/>
          <w:szCs w:val="20"/>
        </w:rPr>
        <w:t xml:space="preserve"> at 27</w:t>
      </w:r>
      <w:r w:rsidR="00116D27">
        <w:rPr>
          <w:iCs/>
          <w:sz w:val="20"/>
          <w:szCs w:val="20"/>
        </w:rPr>
        <w:t>.</w:t>
      </w:r>
    </w:p>
  </w:footnote>
  <w:footnote w:id="7">
    <w:p w:rsidR="00F22D79" w:rsidRPr="00C50E3E" w:rsidRDefault="00F22D79" w:rsidP="00753EC9">
      <w:pPr>
        <w:pStyle w:val="FootnoteText"/>
        <w:rPr>
          <w:sz w:val="20"/>
          <w:szCs w:val="20"/>
        </w:rPr>
      </w:pPr>
      <w:r w:rsidRPr="00C50E3E">
        <w:rPr>
          <w:rStyle w:val="FootnoteReference"/>
          <w:sz w:val="20"/>
          <w:szCs w:val="20"/>
        </w:rPr>
        <w:footnoteRef/>
      </w:r>
      <w:r w:rsidRPr="00C50E3E">
        <w:rPr>
          <w:sz w:val="20"/>
          <w:szCs w:val="20"/>
        </w:rPr>
        <w:t xml:space="preserve"> In determining whether the use made of a work in any particular case is a fair use the factors to be considered shall include—(1) the purpose and character of the use, including whether such use is of a commercial nature or is for nonprofit educational purposes; (2) the nature of the copyrighted work; (3) the amount and substantiality of the portion used in relation to the copyright work as a whole; and (4) the effect upon the potential market for or value of the copyrighted work.</w:t>
      </w:r>
    </w:p>
  </w:footnote>
  <w:footnote w:id="8">
    <w:p w:rsidR="00F22D79" w:rsidRPr="00C50E3E" w:rsidRDefault="00F22D79" w:rsidP="00753EC9">
      <w:pPr>
        <w:pStyle w:val="FootnoteText"/>
        <w:rPr>
          <w:sz w:val="20"/>
          <w:szCs w:val="20"/>
        </w:rPr>
      </w:pPr>
      <w:r w:rsidRPr="00C50E3E">
        <w:rPr>
          <w:rStyle w:val="FootnoteReference"/>
          <w:sz w:val="20"/>
          <w:szCs w:val="20"/>
        </w:rPr>
        <w:footnoteRef/>
      </w:r>
      <w:r w:rsidRPr="00C50E3E">
        <w:rPr>
          <w:sz w:val="20"/>
          <w:szCs w:val="20"/>
        </w:rPr>
        <w:t xml:space="preserve"> In </w:t>
      </w:r>
      <w:r w:rsidRPr="00C50E3E">
        <w:rPr>
          <w:sz w:val="20"/>
          <w:szCs w:val="20"/>
          <w:u w:val="single"/>
        </w:rPr>
        <w:t>Authors Guild, Inc. v. HathiTrust</w:t>
      </w:r>
      <w:r w:rsidRPr="00C50E3E">
        <w:rPr>
          <w:sz w:val="20"/>
          <w:szCs w:val="20"/>
        </w:rPr>
        <w:t xml:space="preserve">, 755 F. 3d 87 (2nd Cir. 2014), the Second Circuit held that digitizing and enabling full-text search is a transformative use and a fair use.  The court cited cases from many circuits to support this holding, thereby </w:t>
      </w:r>
      <w:r w:rsidR="00387F49" w:rsidRPr="00C50E3E">
        <w:rPr>
          <w:sz w:val="20"/>
          <w:szCs w:val="20"/>
        </w:rPr>
        <w:t>diminishing</w:t>
      </w:r>
      <w:r w:rsidRPr="00C50E3E">
        <w:rPr>
          <w:sz w:val="20"/>
          <w:szCs w:val="20"/>
        </w:rPr>
        <w:t xml:space="preserve"> a previously perceived circuit split.</w:t>
      </w:r>
    </w:p>
  </w:footnote>
  <w:footnote w:id="9">
    <w:p w:rsidR="00F22D79" w:rsidRPr="00C50E3E" w:rsidRDefault="00F22D79" w:rsidP="00753EC9">
      <w:pPr>
        <w:pStyle w:val="FootnoteText"/>
        <w:rPr>
          <w:i/>
          <w:sz w:val="20"/>
          <w:szCs w:val="20"/>
        </w:rPr>
      </w:pPr>
      <w:r w:rsidRPr="00C50E3E">
        <w:rPr>
          <w:rStyle w:val="FootnoteReference"/>
          <w:sz w:val="20"/>
          <w:szCs w:val="20"/>
        </w:rPr>
        <w:footnoteRef/>
      </w:r>
      <w:r w:rsidRPr="00C50E3E">
        <w:rPr>
          <w:sz w:val="20"/>
          <w:szCs w:val="20"/>
        </w:rPr>
        <w:t xml:space="preserve"> </w:t>
      </w:r>
      <w:r w:rsidR="00D85973" w:rsidRPr="00C50E3E">
        <w:rPr>
          <w:sz w:val="20"/>
          <w:szCs w:val="20"/>
          <w:u w:val="single"/>
        </w:rPr>
        <w:t>Authors Guild, Inc. v. HathiTrust</w:t>
      </w:r>
      <w:r w:rsidR="00D85973" w:rsidRPr="00C50E3E">
        <w:rPr>
          <w:sz w:val="20"/>
          <w:szCs w:val="20"/>
        </w:rPr>
        <w:t xml:space="preserve">, 755 F. 3d 87 (2nd Cir. 2014), </w:t>
      </w:r>
      <w:r w:rsidR="00D85973" w:rsidRPr="00C50E3E">
        <w:rPr>
          <w:i/>
          <w:sz w:val="20"/>
          <w:szCs w:val="20"/>
        </w:rPr>
        <w:t xml:space="preserve">quoting </w:t>
      </w:r>
      <w:r w:rsidR="00D85973" w:rsidRPr="00C50E3E">
        <w:rPr>
          <w:iCs/>
          <w:sz w:val="20"/>
          <w:szCs w:val="20"/>
        </w:rPr>
        <w:t>Authors </w:t>
      </w:r>
      <w:r w:rsidR="00D85973" w:rsidRPr="00C50E3E">
        <w:rPr>
          <w:bCs/>
          <w:iCs/>
          <w:sz w:val="20"/>
          <w:szCs w:val="20"/>
        </w:rPr>
        <w:t>Guild</w:t>
      </w:r>
      <w:r w:rsidR="00D85973" w:rsidRPr="00C50E3E">
        <w:rPr>
          <w:iCs/>
          <w:sz w:val="20"/>
          <w:szCs w:val="20"/>
        </w:rPr>
        <w:t>, Inc. v. </w:t>
      </w:r>
      <w:r w:rsidR="00D85973" w:rsidRPr="00C50E3E">
        <w:rPr>
          <w:bCs/>
          <w:iCs/>
          <w:sz w:val="20"/>
          <w:szCs w:val="20"/>
        </w:rPr>
        <w:t>HathiTrust</w:t>
      </w:r>
      <w:r w:rsidR="00D85973" w:rsidRPr="00C50E3E">
        <w:rPr>
          <w:iCs/>
          <w:sz w:val="20"/>
          <w:szCs w:val="20"/>
        </w:rPr>
        <w:t>,</w:t>
      </w:r>
      <w:r w:rsidR="00D85973" w:rsidRPr="00C50E3E">
        <w:rPr>
          <w:sz w:val="20"/>
          <w:szCs w:val="20"/>
        </w:rPr>
        <w:t> 902 F.Supp.2d 445, 460-64 (S.D.N.Y. 2012). </w:t>
      </w:r>
    </w:p>
  </w:footnote>
  <w:footnote w:id="10">
    <w:p w:rsidR="005A57D1" w:rsidRPr="00C50E3E" w:rsidRDefault="005A57D1">
      <w:pPr>
        <w:pStyle w:val="FootnoteText"/>
        <w:rPr>
          <w:sz w:val="20"/>
          <w:szCs w:val="20"/>
        </w:rPr>
      </w:pPr>
      <w:r w:rsidRPr="00C50E3E">
        <w:rPr>
          <w:rStyle w:val="FootnoteReference"/>
          <w:sz w:val="20"/>
          <w:szCs w:val="20"/>
        </w:rPr>
        <w:footnoteRef/>
      </w:r>
      <w:r w:rsidRPr="00C50E3E">
        <w:rPr>
          <w:sz w:val="20"/>
          <w:szCs w:val="20"/>
        </w:rPr>
        <w:t xml:space="preserve"> </w:t>
      </w:r>
      <w:r w:rsidR="007047B5">
        <w:rPr>
          <w:i/>
          <w:sz w:val="20"/>
          <w:szCs w:val="20"/>
        </w:rPr>
        <w:t xml:space="preserve">See </w:t>
      </w:r>
      <w:r w:rsidRPr="00C50E3E">
        <w:rPr>
          <w:sz w:val="20"/>
          <w:szCs w:val="20"/>
        </w:rPr>
        <w:t>http://www.whitehouse.gov/sites/default/files/microsites/ostp/ostp_public_access_memo_2013.pdf.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ED" w:rsidRDefault="005E2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ED" w:rsidRDefault="005E23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ED" w:rsidRDefault="005E2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2C9"/>
    <w:multiLevelType w:val="hybridMultilevel"/>
    <w:tmpl w:val="40D47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CE51D6"/>
    <w:multiLevelType w:val="multilevel"/>
    <w:tmpl w:val="8CFC2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BA53DD"/>
    <w:multiLevelType w:val="multilevel"/>
    <w:tmpl w:val="F342F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41"/>
    <w:rsid w:val="00001EDB"/>
    <w:rsid w:val="00002FF9"/>
    <w:rsid w:val="00003DEE"/>
    <w:rsid w:val="00005E94"/>
    <w:rsid w:val="00006560"/>
    <w:rsid w:val="00011621"/>
    <w:rsid w:val="00013BAC"/>
    <w:rsid w:val="00013E18"/>
    <w:rsid w:val="0001481A"/>
    <w:rsid w:val="00015B9C"/>
    <w:rsid w:val="0002165F"/>
    <w:rsid w:val="00022ED8"/>
    <w:rsid w:val="00023E8C"/>
    <w:rsid w:val="000242BD"/>
    <w:rsid w:val="00026C8E"/>
    <w:rsid w:val="00031F3E"/>
    <w:rsid w:val="0003600F"/>
    <w:rsid w:val="00044C0A"/>
    <w:rsid w:val="00047CE9"/>
    <w:rsid w:val="00050D42"/>
    <w:rsid w:val="00054865"/>
    <w:rsid w:val="000551F7"/>
    <w:rsid w:val="00060F16"/>
    <w:rsid w:val="0006536B"/>
    <w:rsid w:val="00067598"/>
    <w:rsid w:val="000678B5"/>
    <w:rsid w:val="00067D14"/>
    <w:rsid w:val="00067D32"/>
    <w:rsid w:val="0007234C"/>
    <w:rsid w:val="000730FE"/>
    <w:rsid w:val="00073A8F"/>
    <w:rsid w:val="00073EAF"/>
    <w:rsid w:val="0009008B"/>
    <w:rsid w:val="000909FC"/>
    <w:rsid w:val="000929EE"/>
    <w:rsid w:val="0009629D"/>
    <w:rsid w:val="000968AD"/>
    <w:rsid w:val="00096D49"/>
    <w:rsid w:val="000A1F8A"/>
    <w:rsid w:val="000A2304"/>
    <w:rsid w:val="000A2D9E"/>
    <w:rsid w:val="000A3EB5"/>
    <w:rsid w:val="000A509E"/>
    <w:rsid w:val="000A5909"/>
    <w:rsid w:val="000A6427"/>
    <w:rsid w:val="000B1130"/>
    <w:rsid w:val="000B4F90"/>
    <w:rsid w:val="000C76E4"/>
    <w:rsid w:val="000D231E"/>
    <w:rsid w:val="000E08A3"/>
    <w:rsid w:val="000E5AF5"/>
    <w:rsid w:val="000E68EA"/>
    <w:rsid w:val="000E6CF3"/>
    <w:rsid w:val="000E6DA1"/>
    <w:rsid w:val="000E7AF1"/>
    <w:rsid w:val="000F2989"/>
    <w:rsid w:val="0010040C"/>
    <w:rsid w:val="00105146"/>
    <w:rsid w:val="00106D9F"/>
    <w:rsid w:val="00111A3B"/>
    <w:rsid w:val="00116D27"/>
    <w:rsid w:val="00122C66"/>
    <w:rsid w:val="00131074"/>
    <w:rsid w:val="00132F85"/>
    <w:rsid w:val="00134578"/>
    <w:rsid w:val="00134AD1"/>
    <w:rsid w:val="001401EB"/>
    <w:rsid w:val="00142926"/>
    <w:rsid w:val="001543C9"/>
    <w:rsid w:val="00164C21"/>
    <w:rsid w:val="001674E5"/>
    <w:rsid w:val="001758B2"/>
    <w:rsid w:val="00176B94"/>
    <w:rsid w:val="001816FB"/>
    <w:rsid w:val="00183388"/>
    <w:rsid w:val="00183A57"/>
    <w:rsid w:val="00193369"/>
    <w:rsid w:val="0019441E"/>
    <w:rsid w:val="001B1EFB"/>
    <w:rsid w:val="001B2766"/>
    <w:rsid w:val="001B3B91"/>
    <w:rsid w:val="001B4A73"/>
    <w:rsid w:val="001B573C"/>
    <w:rsid w:val="001B6E52"/>
    <w:rsid w:val="001B76B3"/>
    <w:rsid w:val="001C0CF2"/>
    <w:rsid w:val="001C4165"/>
    <w:rsid w:val="001C49D2"/>
    <w:rsid w:val="001D2854"/>
    <w:rsid w:val="001D359E"/>
    <w:rsid w:val="001D4901"/>
    <w:rsid w:val="001D75E6"/>
    <w:rsid w:val="001D7EDD"/>
    <w:rsid w:val="001E0571"/>
    <w:rsid w:val="001E0BC9"/>
    <w:rsid w:val="001E6610"/>
    <w:rsid w:val="001F113B"/>
    <w:rsid w:val="001F18DC"/>
    <w:rsid w:val="001F27D9"/>
    <w:rsid w:val="001F28B4"/>
    <w:rsid w:val="001F2ED3"/>
    <w:rsid w:val="001F3962"/>
    <w:rsid w:val="001F45FA"/>
    <w:rsid w:val="001F65FD"/>
    <w:rsid w:val="001F6BE5"/>
    <w:rsid w:val="00204D23"/>
    <w:rsid w:val="0021169D"/>
    <w:rsid w:val="00216DEC"/>
    <w:rsid w:val="0022052A"/>
    <w:rsid w:val="00221E0A"/>
    <w:rsid w:val="00222192"/>
    <w:rsid w:val="00234CEE"/>
    <w:rsid w:val="00237F9C"/>
    <w:rsid w:val="00240E03"/>
    <w:rsid w:val="00243DB2"/>
    <w:rsid w:val="00244D87"/>
    <w:rsid w:val="00245411"/>
    <w:rsid w:val="00253163"/>
    <w:rsid w:val="002547F6"/>
    <w:rsid w:val="002555FC"/>
    <w:rsid w:val="0026005F"/>
    <w:rsid w:val="00261571"/>
    <w:rsid w:val="00267D81"/>
    <w:rsid w:val="00271FEE"/>
    <w:rsid w:val="00275D1F"/>
    <w:rsid w:val="00276E49"/>
    <w:rsid w:val="00277B96"/>
    <w:rsid w:val="00277C14"/>
    <w:rsid w:val="00290C06"/>
    <w:rsid w:val="00290D46"/>
    <w:rsid w:val="002955FB"/>
    <w:rsid w:val="0029775E"/>
    <w:rsid w:val="002A3EF6"/>
    <w:rsid w:val="002A7136"/>
    <w:rsid w:val="002B2344"/>
    <w:rsid w:val="002B4D4E"/>
    <w:rsid w:val="002B704D"/>
    <w:rsid w:val="002C0DEA"/>
    <w:rsid w:val="002C1596"/>
    <w:rsid w:val="002C1CD9"/>
    <w:rsid w:val="002C23F5"/>
    <w:rsid w:val="002C56E7"/>
    <w:rsid w:val="002D1E96"/>
    <w:rsid w:val="002D23A0"/>
    <w:rsid w:val="002D4D5B"/>
    <w:rsid w:val="002E2374"/>
    <w:rsid w:val="002E5601"/>
    <w:rsid w:val="002E58BB"/>
    <w:rsid w:val="002F14DA"/>
    <w:rsid w:val="002F437E"/>
    <w:rsid w:val="002F7A35"/>
    <w:rsid w:val="0030300F"/>
    <w:rsid w:val="00313C9C"/>
    <w:rsid w:val="00325712"/>
    <w:rsid w:val="00325F2C"/>
    <w:rsid w:val="00327A75"/>
    <w:rsid w:val="00331536"/>
    <w:rsid w:val="00333DED"/>
    <w:rsid w:val="003410E1"/>
    <w:rsid w:val="00341A13"/>
    <w:rsid w:val="00341FF5"/>
    <w:rsid w:val="0035003A"/>
    <w:rsid w:val="003521F4"/>
    <w:rsid w:val="0035256C"/>
    <w:rsid w:val="00353F1A"/>
    <w:rsid w:val="003559F6"/>
    <w:rsid w:val="003572E2"/>
    <w:rsid w:val="00360358"/>
    <w:rsid w:val="003612A0"/>
    <w:rsid w:val="00367D2E"/>
    <w:rsid w:val="00370952"/>
    <w:rsid w:val="00371532"/>
    <w:rsid w:val="0037156C"/>
    <w:rsid w:val="00374C60"/>
    <w:rsid w:val="0037782E"/>
    <w:rsid w:val="00377CB3"/>
    <w:rsid w:val="00381A43"/>
    <w:rsid w:val="00384E9C"/>
    <w:rsid w:val="00387F49"/>
    <w:rsid w:val="00390FC4"/>
    <w:rsid w:val="00396009"/>
    <w:rsid w:val="003A18F8"/>
    <w:rsid w:val="003A4701"/>
    <w:rsid w:val="003A6CCE"/>
    <w:rsid w:val="003B08D4"/>
    <w:rsid w:val="003B114A"/>
    <w:rsid w:val="003B167A"/>
    <w:rsid w:val="003B2526"/>
    <w:rsid w:val="003B5C0C"/>
    <w:rsid w:val="003C6FB1"/>
    <w:rsid w:val="003C79E2"/>
    <w:rsid w:val="003D1551"/>
    <w:rsid w:val="003D433F"/>
    <w:rsid w:val="003D4827"/>
    <w:rsid w:val="003D609D"/>
    <w:rsid w:val="003D686F"/>
    <w:rsid w:val="003E59CF"/>
    <w:rsid w:val="003F24D2"/>
    <w:rsid w:val="003F4883"/>
    <w:rsid w:val="0040061D"/>
    <w:rsid w:val="00402C73"/>
    <w:rsid w:val="00403078"/>
    <w:rsid w:val="00403B54"/>
    <w:rsid w:val="004046AA"/>
    <w:rsid w:val="0040500D"/>
    <w:rsid w:val="00405015"/>
    <w:rsid w:val="00407CA2"/>
    <w:rsid w:val="00411C0C"/>
    <w:rsid w:val="00422A7D"/>
    <w:rsid w:val="004241F4"/>
    <w:rsid w:val="00424863"/>
    <w:rsid w:val="00432136"/>
    <w:rsid w:val="00432BBB"/>
    <w:rsid w:val="00436644"/>
    <w:rsid w:val="00442D0C"/>
    <w:rsid w:val="0044602F"/>
    <w:rsid w:val="0045017F"/>
    <w:rsid w:val="004541F2"/>
    <w:rsid w:val="00460148"/>
    <w:rsid w:val="004612FD"/>
    <w:rsid w:val="00461ECC"/>
    <w:rsid w:val="00461FFB"/>
    <w:rsid w:val="0046454D"/>
    <w:rsid w:val="0046779A"/>
    <w:rsid w:val="00471E58"/>
    <w:rsid w:val="004736B5"/>
    <w:rsid w:val="0047483A"/>
    <w:rsid w:val="00475AEB"/>
    <w:rsid w:val="00476D1B"/>
    <w:rsid w:val="004778E5"/>
    <w:rsid w:val="00480584"/>
    <w:rsid w:val="004821B7"/>
    <w:rsid w:val="00483EEE"/>
    <w:rsid w:val="00490CDD"/>
    <w:rsid w:val="004922D7"/>
    <w:rsid w:val="0049418D"/>
    <w:rsid w:val="00495941"/>
    <w:rsid w:val="004A05CB"/>
    <w:rsid w:val="004A0E05"/>
    <w:rsid w:val="004A173D"/>
    <w:rsid w:val="004A6A9F"/>
    <w:rsid w:val="004A7708"/>
    <w:rsid w:val="004B3A93"/>
    <w:rsid w:val="004C244C"/>
    <w:rsid w:val="004D4A47"/>
    <w:rsid w:val="004D4D73"/>
    <w:rsid w:val="004E03B2"/>
    <w:rsid w:val="004E1113"/>
    <w:rsid w:val="004E1F93"/>
    <w:rsid w:val="004E3675"/>
    <w:rsid w:val="004E4533"/>
    <w:rsid w:val="004E7A5B"/>
    <w:rsid w:val="004F00F9"/>
    <w:rsid w:val="004F0DDF"/>
    <w:rsid w:val="004F4536"/>
    <w:rsid w:val="004F4899"/>
    <w:rsid w:val="004F520D"/>
    <w:rsid w:val="004F72D3"/>
    <w:rsid w:val="004F79C3"/>
    <w:rsid w:val="00521A62"/>
    <w:rsid w:val="00522729"/>
    <w:rsid w:val="005238BD"/>
    <w:rsid w:val="00524F72"/>
    <w:rsid w:val="00525BE7"/>
    <w:rsid w:val="00531078"/>
    <w:rsid w:val="005318AD"/>
    <w:rsid w:val="00531E0C"/>
    <w:rsid w:val="00531EE9"/>
    <w:rsid w:val="005320C5"/>
    <w:rsid w:val="00537406"/>
    <w:rsid w:val="00537520"/>
    <w:rsid w:val="0054094E"/>
    <w:rsid w:val="00541DFB"/>
    <w:rsid w:val="00542709"/>
    <w:rsid w:val="005446ED"/>
    <w:rsid w:val="00547E21"/>
    <w:rsid w:val="005548EA"/>
    <w:rsid w:val="00565D86"/>
    <w:rsid w:val="00571194"/>
    <w:rsid w:val="005722D3"/>
    <w:rsid w:val="005729C0"/>
    <w:rsid w:val="005743ED"/>
    <w:rsid w:val="005746D5"/>
    <w:rsid w:val="00574F10"/>
    <w:rsid w:val="00577B4B"/>
    <w:rsid w:val="00580B9B"/>
    <w:rsid w:val="00580F19"/>
    <w:rsid w:val="00582EF1"/>
    <w:rsid w:val="0058648E"/>
    <w:rsid w:val="00590DEA"/>
    <w:rsid w:val="00591438"/>
    <w:rsid w:val="005A0112"/>
    <w:rsid w:val="005A0548"/>
    <w:rsid w:val="005A2D8A"/>
    <w:rsid w:val="005A57D1"/>
    <w:rsid w:val="005A6801"/>
    <w:rsid w:val="005B1D27"/>
    <w:rsid w:val="005B5832"/>
    <w:rsid w:val="005B5970"/>
    <w:rsid w:val="005B61E7"/>
    <w:rsid w:val="005B644E"/>
    <w:rsid w:val="005B7AA5"/>
    <w:rsid w:val="005C1191"/>
    <w:rsid w:val="005C2F8B"/>
    <w:rsid w:val="005C634A"/>
    <w:rsid w:val="005D48FF"/>
    <w:rsid w:val="005D5759"/>
    <w:rsid w:val="005D5BBF"/>
    <w:rsid w:val="005D6E03"/>
    <w:rsid w:val="005E23ED"/>
    <w:rsid w:val="005E30D6"/>
    <w:rsid w:val="005E55A2"/>
    <w:rsid w:val="005F2AA8"/>
    <w:rsid w:val="005F543D"/>
    <w:rsid w:val="005F5BDE"/>
    <w:rsid w:val="005F64D5"/>
    <w:rsid w:val="005F6B83"/>
    <w:rsid w:val="005F7E3F"/>
    <w:rsid w:val="0060057C"/>
    <w:rsid w:val="00600A54"/>
    <w:rsid w:val="00602BB4"/>
    <w:rsid w:val="00606522"/>
    <w:rsid w:val="00611D62"/>
    <w:rsid w:val="00613999"/>
    <w:rsid w:val="00623E63"/>
    <w:rsid w:val="00623F82"/>
    <w:rsid w:val="006259C0"/>
    <w:rsid w:val="0062660F"/>
    <w:rsid w:val="00627A70"/>
    <w:rsid w:val="006410CD"/>
    <w:rsid w:val="00641714"/>
    <w:rsid w:val="006459EF"/>
    <w:rsid w:val="0064741A"/>
    <w:rsid w:val="00647A5A"/>
    <w:rsid w:val="0065151C"/>
    <w:rsid w:val="00651613"/>
    <w:rsid w:val="00660AFC"/>
    <w:rsid w:val="00662BE2"/>
    <w:rsid w:val="0066341A"/>
    <w:rsid w:val="00665075"/>
    <w:rsid w:val="006669E4"/>
    <w:rsid w:val="0067371B"/>
    <w:rsid w:val="0067440E"/>
    <w:rsid w:val="0067466A"/>
    <w:rsid w:val="00686102"/>
    <w:rsid w:val="00697C09"/>
    <w:rsid w:val="006A1810"/>
    <w:rsid w:val="006A6C1D"/>
    <w:rsid w:val="006A6D69"/>
    <w:rsid w:val="006B43B4"/>
    <w:rsid w:val="006C0403"/>
    <w:rsid w:val="006C306A"/>
    <w:rsid w:val="006D2B09"/>
    <w:rsid w:val="006D3826"/>
    <w:rsid w:val="006D3DA4"/>
    <w:rsid w:val="006D5169"/>
    <w:rsid w:val="006D5262"/>
    <w:rsid w:val="006E1826"/>
    <w:rsid w:val="006E1F3B"/>
    <w:rsid w:val="006E2848"/>
    <w:rsid w:val="006E2E2B"/>
    <w:rsid w:val="006E6A3A"/>
    <w:rsid w:val="006F1BF2"/>
    <w:rsid w:val="006F5BB1"/>
    <w:rsid w:val="006F6AD0"/>
    <w:rsid w:val="006F7FE2"/>
    <w:rsid w:val="007002C9"/>
    <w:rsid w:val="00702F3B"/>
    <w:rsid w:val="007047B5"/>
    <w:rsid w:val="0070588B"/>
    <w:rsid w:val="00705DB2"/>
    <w:rsid w:val="00706CE2"/>
    <w:rsid w:val="00706ED3"/>
    <w:rsid w:val="007123E7"/>
    <w:rsid w:val="00712473"/>
    <w:rsid w:val="00714D58"/>
    <w:rsid w:val="00720EB9"/>
    <w:rsid w:val="007212AA"/>
    <w:rsid w:val="00721FA0"/>
    <w:rsid w:val="00724243"/>
    <w:rsid w:val="00724419"/>
    <w:rsid w:val="00726723"/>
    <w:rsid w:val="00726B0B"/>
    <w:rsid w:val="007326C2"/>
    <w:rsid w:val="00734B2A"/>
    <w:rsid w:val="00737455"/>
    <w:rsid w:val="00737FFD"/>
    <w:rsid w:val="00741143"/>
    <w:rsid w:val="00742DF0"/>
    <w:rsid w:val="00746EB7"/>
    <w:rsid w:val="00750BDB"/>
    <w:rsid w:val="0075381F"/>
    <w:rsid w:val="007539FD"/>
    <w:rsid w:val="00753EC9"/>
    <w:rsid w:val="0075663E"/>
    <w:rsid w:val="00757AFF"/>
    <w:rsid w:val="00761EBE"/>
    <w:rsid w:val="00763E07"/>
    <w:rsid w:val="00765BBB"/>
    <w:rsid w:val="00772F46"/>
    <w:rsid w:val="0077343E"/>
    <w:rsid w:val="00783381"/>
    <w:rsid w:val="0078392A"/>
    <w:rsid w:val="00784EBE"/>
    <w:rsid w:val="00795537"/>
    <w:rsid w:val="007964D7"/>
    <w:rsid w:val="007A0BE6"/>
    <w:rsid w:val="007A14BC"/>
    <w:rsid w:val="007A1BB2"/>
    <w:rsid w:val="007A2F9F"/>
    <w:rsid w:val="007C22A8"/>
    <w:rsid w:val="007C2F1B"/>
    <w:rsid w:val="007C3D68"/>
    <w:rsid w:val="007C517D"/>
    <w:rsid w:val="007C7056"/>
    <w:rsid w:val="007D6F62"/>
    <w:rsid w:val="007D724F"/>
    <w:rsid w:val="007E1775"/>
    <w:rsid w:val="007E307D"/>
    <w:rsid w:val="007E4CA9"/>
    <w:rsid w:val="007E5149"/>
    <w:rsid w:val="007F02D9"/>
    <w:rsid w:val="007F4900"/>
    <w:rsid w:val="007F5B94"/>
    <w:rsid w:val="007F5F86"/>
    <w:rsid w:val="007F6495"/>
    <w:rsid w:val="00801D1D"/>
    <w:rsid w:val="008060B4"/>
    <w:rsid w:val="00813A41"/>
    <w:rsid w:val="00813ADC"/>
    <w:rsid w:val="00813DBC"/>
    <w:rsid w:val="0081559D"/>
    <w:rsid w:val="008242E7"/>
    <w:rsid w:val="008248E6"/>
    <w:rsid w:val="00827914"/>
    <w:rsid w:val="008318F9"/>
    <w:rsid w:val="008344C6"/>
    <w:rsid w:val="008379E1"/>
    <w:rsid w:val="00837AD1"/>
    <w:rsid w:val="00840EC5"/>
    <w:rsid w:val="00842750"/>
    <w:rsid w:val="0084647F"/>
    <w:rsid w:val="008504FB"/>
    <w:rsid w:val="00850F9C"/>
    <w:rsid w:val="00851877"/>
    <w:rsid w:val="00853F34"/>
    <w:rsid w:val="00857807"/>
    <w:rsid w:val="00861E03"/>
    <w:rsid w:val="00862F66"/>
    <w:rsid w:val="00865C94"/>
    <w:rsid w:val="0086730C"/>
    <w:rsid w:val="0086776E"/>
    <w:rsid w:val="00867ABD"/>
    <w:rsid w:val="008724BC"/>
    <w:rsid w:val="00873D7A"/>
    <w:rsid w:val="0088388A"/>
    <w:rsid w:val="00884BD3"/>
    <w:rsid w:val="00884E75"/>
    <w:rsid w:val="008902CD"/>
    <w:rsid w:val="008A08C6"/>
    <w:rsid w:val="008A0F86"/>
    <w:rsid w:val="008A2E08"/>
    <w:rsid w:val="008A48F4"/>
    <w:rsid w:val="008B6629"/>
    <w:rsid w:val="008C14A3"/>
    <w:rsid w:val="008C5306"/>
    <w:rsid w:val="008C6BB3"/>
    <w:rsid w:val="008C71FC"/>
    <w:rsid w:val="008C747B"/>
    <w:rsid w:val="008D1C08"/>
    <w:rsid w:val="008D2DF5"/>
    <w:rsid w:val="008D4545"/>
    <w:rsid w:val="008E0F95"/>
    <w:rsid w:val="008E236F"/>
    <w:rsid w:val="008E34F7"/>
    <w:rsid w:val="008E4633"/>
    <w:rsid w:val="008E4A83"/>
    <w:rsid w:val="008E71F5"/>
    <w:rsid w:val="008F0A91"/>
    <w:rsid w:val="008F2137"/>
    <w:rsid w:val="008F5F60"/>
    <w:rsid w:val="008F7055"/>
    <w:rsid w:val="008F7BB7"/>
    <w:rsid w:val="00900C12"/>
    <w:rsid w:val="00903434"/>
    <w:rsid w:val="0090371A"/>
    <w:rsid w:val="00907736"/>
    <w:rsid w:val="00907D67"/>
    <w:rsid w:val="00912938"/>
    <w:rsid w:val="00913437"/>
    <w:rsid w:val="0091460F"/>
    <w:rsid w:val="00914FC7"/>
    <w:rsid w:val="009170E1"/>
    <w:rsid w:val="00920B34"/>
    <w:rsid w:val="00921E2E"/>
    <w:rsid w:val="00925D6D"/>
    <w:rsid w:val="0092610B"/>
    <w:rsid w:val="00930A5F"/>
    <w:rsid w:val="0093322B"/>
    <w:rsid w:val="009337ED"/>
    <w:rsid w:val="0094012B"/>
    <w:rsid w:val="0094042E"/>
    <w:rsid w:val="00941CF5"/>
    <w:rsid w:val="00942273"/>
    <w:rsid w:val="009448FF"/>
    <w:rsid w:val="00945A8C"/>
    <w:rsid w:val="00950B9B"/>
    <w:rsid w:val="00951163"/>
    <w:rsid w:val="00951919"/>
    <w:rsid w:val="009524C6"/>
    <w:rsid w:val="00952E80"/>
    <w:rsid w:val="00953608"/>
    <w:rsid w:val="009539DC"/>
    <w:rsid w:val="00954350"/>
    <w:rsid w:val="00955D43"/>
    <w:rsid w:val="00956643"/>
    <w:rsid w:val="009643DC"/>
    <w:rsid w:val="00964518"/>
    <w:rsid w:val="00965D43"/>
    <w:rsid w:val="00966423"/>
    <w:rsid w:val="009672B6"/>
    <w:rsid w:val="00967761"/>
    <w:rsid w:val="00967D47"/>
    <w:rsid w:val="00970304"/>
    <w:rsid w:val="0097483F"/>
    <w:rsid w:val="00974CF4"/>
    <w:rsid w:val="00981F3E"/>
    <w:rsid w:val="0098230A"/>
    <w:rsid w:val="00982C7D"/>
    <w:rsid w:val="009902AE"/>
    <w:rsid w:val="009923F7"/>
    <w:rsid w:val="0099486F"/>
    <w:rsid w:val="009958FE"/>
    <w:rsid w:val="00995967"/>
    <w:rsid w:val="009A32E2"/>
    <w:rsid w:val="009A4224"/>
    <w:rsid w:val="009A5503"/>
    <w:rsid w:val="009A55BC"/>
    <w:rsid w:val="009A62E0"/>
    <w:rsid w:val="009B6FE9"/>
    <w:rsid w:val="009C02F3"/>
    <w:rsid w:val="009C2EF9"/>
    <w:rsid w:val="009C61B8"/>
    <w:rsid w:val="009C6210"/>
    <w:rsid w:val="009C7444"/>
    <w:rsid w:val="009D109A"/>
    <w:rsid w:val="009D4B05"/>
    <w:rsid w:val="009D63DA"/>
    <w:rsid w:val="009E0FDE"/>
    <w:rsid w:val="009E1E03"/>
    <w:rsid w:val="009E25C6"/>
    <w:rsid w:val="009E2F9C"/>
    <w:rsid w:val="009E3085"/>
    <w:rsid w:val="009E52E4"/>
    <w:rsid w:val="009E5EF7"/>
    <w:rsid w:val="009F06A3"/>
    <w:rsid w:val="009F4D2C"/>
    <w:rsid w:val="009F57B3"/>
    <w:rsid w:val="009F691C"/>
    <w:rsid w:val="009F76D3"/>
    <w:rsid w:val="00A005ED"/>
    <w:rsid w:val="00A037F1"/>
    <w:rsid w:val="00A063C0"/>
    <w:rsid w:val="00A07A3F"/>
    <w:rsid w:val="00A14CD7"/>
    <w:rsid w:val="00A14EE6"/>
    <w:rsid w:val="00A1529A"/>
    <w:rsid w:val="00A17401"/>
    <w:rsid w:val="00A17D05"/>
    <w:rsid w:val="00A219C8"/>
    <w:rsid w:val="00A2595B"/>
    <w:rsid w:val="00A25AB9"/>
    <w:rsid w:val="00A27A29"/>
    <w:rsid w:val="00A30A94"/>
    <w:rsid w:val="00A329EA"/>
    <w:rsid w:val="00A35B09"/>
    <w:rsid w:val="00A35BFD"/>
    <w:rsid w:val="00A35E62"/>
    <w:rsid w:val="00A4096C"/>
    <w:rsid w:val="00A47037"/>
    <w:rsid w:val="00A5283E"/>
    <w:rsid w:val="00A54401"/>
    <w:rsid w:val="00A571E3"/>
    <w:rsid w:val="00A57362"/>
    <w:rsid w:val="00A577DB"/>
    <w:rsid w:val="00A61840"/>
    <w:rsid w:val="00A620FA"/>
    <w:rsid w:val="00A63F7F"/>
    <w:rsid w:val="00A65B2F"/>
    <w:rsid w:val="00A66230"/>
    <w:rsid w:val="00A66606"/>
    <w:rsid w:val="00A70C03"/>
    <w:rsid w:val="00A81261"/>
    <w:rsid w:val="00A82168"/>
    <w:rsid w:val="00A82892"/>
    <w:rsid w:val="00A82A11"/>
    <w:rsid w:val="00A84C65"/>
    <w:rsid w:val="00A87671"/>
    <w:rsid w:val="00A93C1F"/>
    <w:rsid w:val="00A95EA8"/>
    <w:rsid w:val="00AA4983"/>
    <w:rsid w:val="00AA5902"/>
    <w:rsid w:val="00AA5AB6"/>
    <w:rsid w:val="00AA6ABD"/>
    <w:rsid w:val="00AA7605"/>
    <w:rsid w:val="00AB2BF1"/>
    <w:rsid w:val="00AB373C"/>
    <w:rsid w:val="00AB4C78"/>
    <w:rsid w:val="00AB63F4"/>
    <w:rsid w:val="00AC305A"/>
    <w:rsid w:val="00AD091C"/>
    <w:rsid w:val="00AD0DFE"/>
    <w:rsid w:val="00AD11E8"/>
    <w:rsid w:val="00AD2866"/>
    <w:rsid w:val="00AE0252"/>
    <w:rsid w:val="00AE0AAE"/>
    <w:rsid w:val="00AE0E1D"/>
    <w:rsid w:val="00AE2137"/>
    <w:rsid w:val="00AE2671"/>
    <w:rsid w:val="00AE3B93"/>
    <w:rsid w:val="00AE497D"/>
    <w:rsid w:val="00AE4C2C"/>
    <w:rsid w:val="00AE53D4"/>
    <w:rsid w:val="00AE6F49"/>
    <w:rsid w:val="00AF0217"/>
    <w:rsid w:val="00AF29E1"/>
    <w:rsid w:val="00AF2C01"/>
    <w:rsid w:val="00AF6036"/>
    <w:rsid w:val="00B06F3B"/>
    <w:rsid w:val="00B07B76"/>
    <w:rsid w:val="00B104A5"/>
    <w:rsid w:val="00B116F2"/>
    <w:rsid w:val="00B12135"/>
    <w:rsid w:val="00B135CE"/>
    <w:rsid w:val="00B152A8"/>
    <w:rsid w:val="00B15634"/>
    <w:rsid w:val="00B170E9"/>
    <w:rsid w:val="00B20196"/>
    <w:rsid w:val="00B23BE8"/>
    <w:rsid w:val="00B25A6D"/>
    <w:rsid w:val="00B25D7A"/>
    <w:rsid w:val="00B273E6"/>
    <w:rsid w:val="00B31609"/>
    <w:rsid w:val="00B43462"/>
    <w:rsid w:val="00B452C3"/>
    <w:rsid w:val="00B46364"/>
    <w:rsid w:val="00B4705E"/>
    <w:rsid w:val="00B47067"/>
    <w:rsid w:val="00B50B09"/>
    <w:rsid w:val="00B51591"/>
    <w:rsid w:val="00B5319F"/>
    <w:rsid w:val="00B6242D"/>
    <w:rsid w:val="00B6410B"/>
    <w:rsid w:val="00B645B4"/>
    <w:rsid w:val="00B6531F"/>
    <w:rsid w:val="00B66DC8"/>
    <w:rsid w:val="00B710A5"/>
    <w:rsid w:val="00B71272"/>
    <w:rsid w:val="00B74010"/>
    <w:rsid w:val="00B7774D"/>
    <w:rsid w:val="00B82258"/>
    <w:rsid w:val="00B822A7"/>
    <w:rsid w:val="00B82A03"/>
    <w:rsid w:val="00B82D8B"/>
    <w:rsid w:val="00B8324A"/>
    <w:rsid w:val="00B83BA8"/>
    <w:rsid w:val="00B83C33"/>
    <w:rsid w:val="00B90E7D"/>
    <w:rsid w:val="00B91261"/>
    <w:rsid w:val="00B9487B"/>
    <w:rsid w:val="00BA00E2"/>
    <w:rsid w:val="00BA0671"/>
    <w:rsid w:val="00BA0834"/>
    <w:rsid w:val="00BB0CD2"/>
    <w:rsid w:val="00BB10A7"/>
    <w:rsid w:val="00BB6BB4"/>
    <w:rsid w:val="00BC34D2"/>
    <w:rsid w:val="00BC40EC"/>
    <w:rsid w:val="00BC5784"/>
    <w:rsid w:val="00BD1413"/>
    <w:rsid w:val="00BD2490"/>
    <w:rsid w:val="00BD5B34"/>
    <w:rsid w:val="00BD5F15"/>
    <w:rsid w:val="00BD69F1"/>
    <w:rsid w:val="00BD72BF"/>
    <w:rsid w:val="00BE0722"/>
    <w:rsid w:val="00BE23C1"/>
    <w:rsid w:val="00BE2E1B"/>
    <w:rsid w:val="00BE3CC5"/>
    <w:rsid w:val="00BE3FDD"/>
    <w:rsid w:val="00BE7CB5"/>
    <w:rsid w:val="00BF5C5C"/>
    <w:rsid w:val="00C04787"/>
    <w:rsid w:val="00C05C92"/>
    <w:rsid w:val="00C11C89"/>
    <w:rsid w:val="00C15004"/>
    <w:rsid w:val="00C1567F"/>
    <w:rsid w:val="00C21312"/>
    <w:rsid w:val="00C221B9"/>
    <w:rsid w:val="00C23752"/>
    <w:rsid w:val="00C24D72"/>
    <w:rsid w:val="00C25C31"/>
    <w:rsid w:val="00C27BDD"/>
    <w:rsid w:val="00C325A9"/>
    <w:rsid w:val="00C33605"/>
    <w:rsid w:val="00C35DC7"/>
    <w:rsid w:val="00C37698"/>
    <w:rsid w:val="00C40998"/>
    <w:rsid w:val="00C4115F"/>
    <w:rsid w:val="00C41579"/>
    <w:rsid w:val="00C45D5B"/>
    <w:rsid w:val="00C46AC6"/>
    <w:rsid w:val="00C46B95"/>
    <w:rsid w:val="00C46E71"/>
    <w:rsid w:val="00C47EDA"/>
    <w:rsid w:val="00C50D6E"/>
    <w:rsid w:val="00C50E3E"/>
    <w:rsid w:val="00C56709"/>
    <w:rsid w:val="00C56ACA"/>
    <w:rsid w:val="00C6404E"/>
    <w:rsid w:val="00C64C3B"/>
    <w:rsid w:val="00C676E3"/>
    <w:rsid w:val="00C717E1"/>
    <w:rsid w:val="00C7577A"/>
    <w:rsid w:val="00C83760"/>
    <w:rsid w:val="00C85902"/>
    <w:rsid w:val="00C86B9D"/>
    <w:rsid w:val="00C873EF"/>
    <w:rsid w:val="00C87F38"/>
    <w:rsid w:val="00C90E6F"/>
    <w:rsid w:val="00C91D19"/>
    <w:rsid w:val="00C9350D"/>
    <w:rsid w:val="00C9628B"/>
    <w:rsid w:val="00C97236"/>
    <w:rsid w:val="00CA3E60"/>
    <w:rsid w:val="00CA578F"/>
    <w:rsid w:val="00CA596B"/>
    <w:rsid w:val="00CB340C"/>
    <w:rsid w:val="00CB39AB"/>
    <w:rsid w:val="00CC0E45"/>
    <w:rsid w:val="00CC17C4"/>
    <w:rsid w:val="00CC3876"/>
    <w:rsid w:val="00CC3A0F"/>
    <w:rsid w:val="00CC3E9B"/>
    <w:rsid w:val="00CC579A"/>
    <w:rsid w:val="00CC5A0D"/>
    <w:rsid w:val="00CC729A"/>
    <w:rsid w:val="00CD1968"/>
    <w:rsid w:val="00CD3C0F"/>
    <w:rsid w:val="00CD4122"/>
    <w:rsid w:val="00CD6BDE"/>
    <w:rsid w:val="00CE5D65"/>
    <w:rsid w:val="00CF0A7C"/>
    <w:rsid w:val="00CF0E8D"/>
    <w:rsid w:val="00D01B2C"/>
    <w:rsid w:val="00D0705E"/>
    <w:rsid w:val="00D07C04"/>
    <w:rsid w:val="00D13E4F"/>
    <w:rsid w:val="00D16D5B"/>
    <w:rsid w:val="00D170BD"/>
    <w:rsid w:val="00D2777A"/>
    <w:rsid w:val="00D300B6"/>
    <w:rsid w:val="00D30B0D"/>
    <w:rsid w:val="00D41D89"/>
    <w:rsid w:val="00D43367"/>
    <w:rsid w:val="00D4667B"/>
    <w:rsid w:val="00D50147"/>
    <w:rsid w:val="00D56F3E"/>
    <w:rsid w:val="00D56FEA"/>
    <w:rsid w:val="00D6048E"/>
    <w:rsid w:val="00D63593"/>
    <w:rsid w:val="00D679B1"/>
    <w:rsid w:val="00D752F1"/>
    <w:rsid w:val="00D80C31"/>
    <w:rsid w:val="00D81AA1"/>
    <w:rsid w:val="00D828B4"/>
    <w:rsid w:val="00D84B41"/>
    <w:rsid w:val="00D84B86"/>
    <w:rsid w:val="00D85973"/>
    <w:rsid w:val="00D87FF0"/>
    <w:rsid w:val="00D9012A"/>
    <w:rsid w:val="00D94BAF"/>
    <w:rsid w:val="00D95E2D"/>
    <w:rsid w:val="00DA106F"/>
    <w:rsid w:val="00DA26B8"/>
    <w:rsid w:val="00DA2B39"/>
    <w:rsid w:val="00DA4549"/>
    <w:rsid w:val="00DA6E7E"/>
    <w:rsid w:val="00DB2386"/>
    <w:rsid w:val="00DB322F"/>
    <w:rsid w:val="00DB66DF"/>
    <w:rsid w:val="00DB7F74"/>
    <w:rsid w:val="00DC1361"/>
    <w:rsid w:val="00DC3394"/>
    <w:rsid w:val="00DC33F9"/>
    <w:rsid w:val="00DC593B"/>
    <w:rsid w:val="00DC61DF"/>
    <w:rsid w:val="00DC67A6"/>
    <w:rsid w:val="00DC7581"/>
    <w:rsid w:val="00DC7FFE"/>
    <w:rsid w:val="00DD026C"/>
    <w:rsid w:val="00DD38C6"/>
    <w:rsid w:val="00DD63EC"/>
    <w:rsid w:val="00DD6FC6"/>
    <w:rsid w:val="00DE0444"/>
    <w:rsid w:val="00DE2549"/>
    <w:rsid w:val="00DE3A27"/>
    <w:rsid w:val="00DE41FF"/>
    <w:rsid w:val="00DE4A3C"/>
    <w:rsid w:val="00DE584D"/>
    <w:rsid w:val="00DF08C1"/>
    <w:rsid w:val="00DF628B"/>
    <w:rsid w:val="00DF7EEA"/>
    <w:rsid w:val="00E03DF9"/>
    <w:rsid w:val="00E0432D"/>
    <w:rsid w:val="00E04F97"/>
    <w:rsid w:val="00E0500E"/>
    <w:rsid w:val="00E1188B"/>
    <w:rsid w:val="00E127BE"/>
    <w:rsid w:val="00E17633"/>
    <w:rsid w:val="00E21A9D"/>
    <w:rsid w:val="00E2387E"/>
    <w:rsid w:val="00E31E87"/>
    <w:rsid w:val="00E43FA3"/>
    <w:rsid w:val="00E51F15"/>
    <w:rsid w:val="00E55882"/>
    <w:rsid w:val="00E634EA"/>
    <w:rsid w:val="00E64E3A"/>
    <w:rsid w:val="00E668B9"/>
    <w:rsid w:val="00E70A85"/>
    <w:rsid w:val="00E724A0"/>
    <w:rsid w:val="00E744A8"/>
    <w:rsid w:val="00E74A5C"/>
    <w:rsid w:val="00E809D8"/>
    <w:rsid w:val="00E81EDF"/>
    <w:rsid w:val="00E8452E"/>
    <w:rsid w:val="00E8577B"/>
    <w:rsid w:val="00E85EA1"/>
    <w:rsid w:val="00E87059"/>
    <w:rsid w:val="00E91AE6"/>
    <w:rsid w:val="00E92FD4"/>
    <w:rsid w:val="00E96DF2"/>
    <w:rsid w:val="00E96DF9"/>
    <w:rsid w:val="00EA2F2A"/>
    <w:rsid w:val="00EA6733"/>
    <w:rsid w:val="00EA788C"/>
    <w:rsid w:val="00EB36EB"/>
    <w:rsid w:val="00EB3842"/>
    <w:rsid w:val="00EB43CC"/>
    <w:rsid w:val="00EB4D44"/>
    <w:rsid w:val="00EB5A4C"/>
    <w:rsid w:val="00EB5B17"/>
    <w:rsid w:val="00EC1029"/>
    <w:rsid w:val="00EC6DB2"/>
    <w:rsid w:val="00EC6F53"/>
    <w:rsid w:val="00EC7A7E"/>
    <w:rsid w:val="00ED0DAE"/>
    <w:rsid w:val="00ED2946"/>
    <w:rsid w:val="00ED4982"/>
    <w:rsid w:val="00ED4B45"/>
    <w:rsid w:val="00ED5C33"/>
    <w:rsid w:val="00ED7C99"/>
    <w:rsid w:val="00EE3110"/>
    <w:rsid w:val="00EE32DE"/>
    <w:rsid w:val="00EE3726"/>
    <w:rsid w:val="00EE49CD"/>
    <w:rsid w:val="00EE55F2"/>
    <w:rsid w:val="00EF4C91"/>
    <w:rsid w:val="00EF52B6"/>
    <w:rsid w:val="00EF5A60"/>
    <w:rsid w:val="00EF5E0F"/>
    <w:rsid w:val="00EF69C6"/>
    <w:rsid w:val="00EF799F"/>
    <w:rsid w:val="00F00653"/>
    <w:rsid w:val="00F02373"/>
    <w:rsid w:val="00F029AC"/>
    <w:rsid w:val="00F04A00"/>
    <w:rsid w:val="00F134F3"/>
    <w:rsid w:val="00F1374C"/>
    <w:rsid w:val="00F1454D"/>
    <w:rsid w:val="00F22D79"/>
    <w:rsid w:val="00F233C2"/>
    <w:rsid w:val="00F27552"/>
    <w:rsid w:val="00F3181C"/>
    <w:rsid w:val="00F32372"/>
    <w:rsid w:val="00F366E0"/>
    <w:rsid w:val="00F42A35"/>
    <w:rsid w:val="00F43641"/>
    <w:rsid w:val="00F45646"/>
    <w:rsid w:val="00F46FE0"/>
    <w:rsid w:val="00F476FA"/>
    <w:rsid w:val="00F520E4"/>
    <w:rsid w:val="00F55278"/>
    <w:rsid w:val="00F638C3"/>
    <w:rsid w:val="00F64D56"/>
    <w:rsid w:val="00F66367"/>
    <w:rsid w:val="00F72885"/>
    <w:rsid w:val="00F74A79"/>
    <w:rsid w:val="00F75143"/>
    <w:rsid w:val="00F75DF4"/>
    <w:rsid w:val="00F771E3"/>
    <w:rsid w:val="00F816DA"/>
    <w:rsid w:val="00F871B4"/>
    <w:rsid w:val="00F908CA"/>
    <w:rsid w:val="00F9142D"/>
    <w:rsid w:val="00F932CE"/>
    <w:rsid w:val="00F9628D"/>
    <w:rsid w:val="00F96D74"/>
    <w:rsid w:val="00F978E0"/>
    <w:rsid w:val="00FA1334"/>
    <w:rsid w:val="00FA26BD"/>
    <w:rsid w:val="00FA3978"/>
    <w:rsid w:val="00FB2497"/>
    <w:rsid w:val="00FB3A55"/>
    <w:rsid w:val="00FB54C2"/>
    <w:rsid w:val="00FB5AA4"/>
    <w:rsid w:val="00FC029E"/>
    <w:rsid w:val="00FC2D8F"/>
    <w:rsid w:val="00FC30DB"/>
    <w:rsid w:val="00FC3A11"/>
    <w:rsid w:val="00FC78F0"/>
    <w:rsid w:val="00FD1639"/>
    <w:rsid w:val="00FD1CF9"/>
    <w:rsid w:val="00FD3880"/>
    <w:rsid w:val="00FD5C2F"/>
    <w:rsid w:val="00FE39C8"/>
    <w:rsid w:val="00FE5630"/>
    <w:rsid w:val="00FF16A2"/>
    <w:rsid w:val="00FF198F"/>
    <w:rsid w:val="00FF2B69"/>
    <w:rsid w:val="00FF2F6E"/>
    <w:rsid w:val="00FF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641"/>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3641"/>
  </w:style>
  <w:style w:type="character" w:styleId="Emphasis">
    <w:name w:val="Emphasis"/>
    <w:uiPriority w:val="20"/>
    <w:qFormat/>
    <w:rsid w:val="00F43641"/>
    <w:rPr>
      <w:i/>
      <w:iCs/>
    </w:rPr>
  </w:style>
  <w:style w:type="character" w:styleId="CommentReference">
    <w:name w:val="annotation reference"/>
    <w:basedOn w:val="DefaultParagraphFont"/>
    <w:rsid w:val="001F3962"/>
    <w:rPr>
      <w:sz w:val="16"/>
      <w:szCs w:val="16"/>
    </w:rPr>
  </w:style>
  <w:style w:type="paragraph" w:styleId="CommentText">
    <w:name w:val="annotation text"/>
    <w:basedOn w:val="Normal"/>
    <w:link w:val="CommentTextChar"/>
    <w:rsid w:val="001F3962"/>
    <w:rPr>
      <w:sz w:val="20"/>
      <w:szCs w:val="20"/>
    </w:rPr>
  </w:style>
  <w:style w:type="character" w:customStyle="1" w:styleId="CommentTextChar">
    <w:name w:val="Comment Text Char"/>
    <w:basedOn w:val="DefaultParagraphFont"/>
    <w:link w:val="CommentText"/>
    <w:rsid w:val="001F3962"/>
    <w:rPr>
      <w:rFonts w:eastAsia="Calibri"/>
    </w:rPr>
  </w:style>
  <w:style w:type="paragraph" w:styleId="CommentSubject">
    <w:name w:val="annotation subject"/>
    <w:basedOn w:val="CommentText"/>
    <w:next w:val="CommentText"/>
    <w:link w:val="CommentSubjectChar"/>
    <w:rsid w:val="001F3962"/>
    <w:rPr>
      <w:b/>
      <w:bCs/>
    </w:rPr>
  </w:style>
  <w:style w:type="character" w:customStyle="1" w:styleId="CommentSubjectChar">
    <w:name w:val="Comment Subject Char"/>
    <w:basedOn w:val="CommentTextChar"/>
    <w:link w:val="CommentSubject"/>
    <w:rsid w:val="001F3962"/>
    <w:rPr>
      <w:rFonts w:eastAsia="Calibri"/>
      <w:b/>
      <w:bCs/>
    </w:rPr>
  </w:style>
  <w:style w:type="paragraph" w:styleId="BalloonText">
    <w:name w:val="Balloon Text"/>
    <w:basedOn w:val="Normal"/>
    <w:link w:val="BalloonTextChar"/>
    <w:rsid w:val="001F3962"/>
    <w:rPr>
      <w:rFonts w:ascii="Tahoma" w:hAnsi="Tahoma" w:cs="Tahoma"/>
      <w:sz w:val="16"/>
      <w:szCs w:val="16"/>
    </w:rPr>
  </w:style>
  <w:style w:type="character" w:customStyle="1" w:styleId="BalloonTextChar">
    <w:name w:val="Balloon Text Char"/>
    <w:basedOn w:val="DefaultParagraphFont"/>
    <w:link w:val="BalloonText"/>
    <w:rsid w:val="001F3962"/>
    <w:rPr>
      <w:rFonts w:ascii="Tahoma" w:eastAsia="Calibri" w:hAnsi="Tahoma" w:cs="Tahoma"/>
      <w:sz w:val="16"/>
      <w:szCs w:val="16"/>
    </w:rPr>
  </w:style>
  <w:style w:type="paragraph" w:styleId="Header">
    <w:name w:val="header"/>
    <w:basedOn w:val="Normal"/>
    <w:link w:val="HeaderChar"/>
    <w:uiPriority w:val="99"/>
    <w:rsid w:val="00F55278"/>
    <w:pPr>
      <w:tabs>
        <w:tab w:val="center" w:pos="4680"/>
        <w:tab w:val="right" w:pos="9360"/>
      </w:tabs>
    </w:pPr>
  </w:style>
  <w:style w:type="character" w:customStyle="1" w:styleId="HeaderChar">
    <w:name w:val="Header Char"/>
    <w:basedOn w:val="DefaultParagraphFont"/>
    <w:link w:val="Header"/>
    <w:uiPriority w:val="99"/>
    <w:rsid w:val="00F55278"/>
    <w:rPr>
      <w:rFonts w:eastAsia="Calibri"/>
      <w:sz w:val="24"/>
      <w:szCs w:val="24"/>
    </w:rPr>
  </w:style>
  <w:style w:type="paragraph" w:styleId="Footer">
    <w:name w:val="footer"/>
    <w:basedOn w:val="Normal"/>
    <w:link w:val="FooterChar"/>
    <w:uiPriority w:val="99"/>
    <w:rsid w:val="00F55278"/>
    <w:pPr>
      <w:tabs>
        <w:tab w:val="center" w:pos="4680"/>
        <w:tab w:val="right" w:pos="9360"/>
      </w:tabs>
    </w:pPr>
  </w:style>
  <w:style w:type="character" w:customStyle="1" w:styleId="FooterChar">
    <w:name w:val="Footer Char"/>
    <w:basedOn w:val="DefaultParagraphFont"/>
    <w:link w:val="Footer"/>
    <w:uiPriority w:val="99"/>
    <w:rsid w:val="00F55278"/>
    <w:rPr>
      <w:rFonts w:eastAsia="Calibri"/>
      <w:sz w:val="24"/>
      <w:szCs w:val="24"/>
    </w:rPr>
  </w:style>
  <w:style w:type="paragraph" w:styleId="ListParagraph">
    <w:name w:val="List Paragraph"/>
    <w:basedOn w:val="Normal"/>
    <w:uiPriority w:val="34"/>
    <w:qFormat/>
    <w:rsid w:val="00F029AC"/>
    <w:pPr>
      <w:ind w:left="720"/>
      <w:contextualSpacing/>
    </w:pPr>
  </w:style>
  <w:style w:type="character" w:styleId="Hyperlink">
    <w:name w:val="Hyperlink"/>
    <w:basedOn w:val="DefaultParagraphFont"/>
    <w:rsid w:val="000929EE"/>
    <w:rPr>
      <w:color w:val="0000FF" w:themeColor="hyperlink"/>
      <w:u w:val="single"/>
    </w:rPr>
  </w:style>
  <w:style w:type="paragraph" w:styleId="FootnoteText">
    <w:name w:val="footnote text"/>
    <w:basedOn w:val="Normal"/>
    <w:link w:val="FootnoteTextChar"/>
    <w:rsid w:val="00050D42"/>
  </w:style>
  <w:style w:type="character" w:customStyle="1" w:styleId="FootnoteTextChar">
    <w:name w:val="Footnote Text Char"/>
    <w:basedOn w:val="DefaultParagraphFont"/>
    <w:link w:val="FootnoteText"/>
    <w:rsid w:val="00050D42"/>
    <w:rPr>
      <w:rFonts w:eastAsia="Calibri"/>
      <w:sz w:val="24"/>
      <w:szCs w:val="24"/>
    </w:rPr>
  </w:style>
  <w:style w:type="character" w:styleId="FootnoteReference">
    <w:name w:val="footnote reference"/>
    <w:basedOn w:val="DefaultParagraphFont"/>
    <w:rsid w:val="00050D42"/>
    <w:rPr>
      <w:vertAlign w:val="superscript"/>
    </w:rPr>
  </w:style>
  <w:style w:type="character" w:styleId="FollowedHyperlink">
    <w:name w:val="FollowedHyperlink"/>
    <w:basedOn w:val="DefaultParagraphFont"/>
    <w:rsid w:val="00D752F1"/>
    <w:rPr>
      <w:color w:val="800080" w:themeColor="followedHyperlink"/>
      <w:u w:val="single"/>
    </w:rPr>
  </w:style>
  <w:style w:type="character" w:customStyle="1" w:styleId="apple-converted-space">
    <w:name w:val="apple-converted-space"/>
    <w:basedOn w:val="DefaultParagraphFont"/>
    <w:rsid w:val="003E59CF"/>
  </w:style>
  <w:style w:type="paragraph" w:customStyle="1" w:styleId="contentwidth">
    <w:name w:val="contentwidth"/>
    <w:basedOn w:val="Normal"/>
    <w:rsid w:val="003E59CF"/>
    <w:pPr>
      <w:spacing w:before="100" w:beforeAutospacing="1" w:after="100" w:afterAutospacing="1"/>
    </w:pPr>
    <w:rPr>
      <w:rFonts w:ascii="Times" w:eastAsia="Times New Roman" w:hAnsi="Times"/>
      <w:sz w:val="20"/>
      <w:szCs w:val="20"/>
    </w:rPr>
  </w:style>
  <w:style w:type="character" w:styleId="Strong">
    <w:name w:val="Strong"/>
    <w:basedOn w:val="DefaultParagraphFont"/>
    <w:uiPriority w:val="22"/>
    <w:qFormat/>
    <w:rsid w:val="003E59CF"/>
    <w:rPr>
      <w:b/>
      <w:bCs/>
    </w:rPr>
  </w:style>
  <w:style w:type="paragraph" w:styleId="NoSpacing">
    <w:name w:val="No Spacing"/>
    <w:link w:val="NoSpacingChar"/>
    <w:uiPriority w:val="1"/>
    <w:qFormat/>
    <w:rsid w:val="00EE32D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E32D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641"/>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3641"/>
  </w:style>
  <w:style w:type="character" w:styleId="Emphasis">
    <w:name w:val="Emphasis"/>
    <w:uiPriority w:val="20"/>
    <w:qFormat/>
    <w:rsid w:val="00F43641"/>
    <w:rPr>
      <w:i/>
      <w:iCs/>
    </w:rPr>
  </w:style>
  <w:style w:type="character" w:styleId="CommentReference">
    <w:name w:val="annotation reference"/>
    <w:basedOn w:val="DefaultParagraphFont"/>
    <w:rsid w:val="001F3962"/>
    <w:rPr>
      <w:sz w:val="16"/>
      <w:szCs w:val="16"/>
    </w:rPr>
  </w:style>
  <w:style w:type="paragraph" w:styleId="CommentText">
    <w:name w:val="annotation text"/>
    <w:basedOn w:val="Normal"/>
    <w:link w:val="CommentTextChar"/>
    <w:rsid w:val="001F3962"/>
    <w:rPr>
      <w:sz w:val="20"/>
      <w:szCs w:val="20"/>
    </w:rPr>
  </w:style>
  <w:style w:type="character" w:customStyle="1" w:styleId="CommentTextChar">
    <w:name w:val="Comment Text Char"/>
    <w:basedOn w:val="DefaultParagraphFont"/>
    <w:link w:val="CommentText"/>
    <w:rsid w:val="001F3962"/>
    <w:rPr>
      <w:rFonts w:eastAsia="Calibri"/>
    </w:rPr>
  </w:style>
  <w:style w:type="paragraph" w:styleId="CommentSubject">
    <w:name w:val="annotation subject"/>
    <w:basedOn w:val="CommentText"/>
    <w:next w:val="CommentText"/>
    <w:link w:val="CommentSubjectChar"/>
    <w:rsid w:val="001F3962"/>
    <w:rPr>
      <w:b/>
      <w:bCs/>
    </w:rPr>
  </w:style>
  <w:style w:type="character" w:customStyle="1" w:styleId="CommentSubjectChar">
    <w:name w:val="Comment Subject Char"/>
    <w:basedOn w:val="CommentTextChar"/>
    <w:link w:val="CommentSubject"/>
    <w:rsid w:val="001F3962"/>
    <w:rPr>
      <w:rFonts w:eastAsia="Calibri"/>
      <w:b/>
      <w:bCs/>
    </w:rPr>
  </w:style>
  <w:style w:type="paragraph" w:styleId="BalloonText">
    <w:name w:val="Balloon Text"/>
    <w:basedOn w:val="Normal"/>
    <w:link w:val="BalloonTextChar"/>
    <w:rsid w:val="001F3962"/>
    <w:rPr>
      <w:rFonts w:ascii="Tahoma" w:hAnsi="Tahoma" w:cs="Tahoma"/>
      <w:sz w:val="16"/>
      <w:szCs w:val="16"/>
    </w:rPr>
  </w:style>
  <w:style w:type="character" w:customStyle="1" w:styleId="BalloonTextChar">
    <w:name w:val="Balloon Text Char"/>
    <w:basedOn w:val="DefaultParagraphFont"/>
    <w:link w:val="BalloonText"/>
    <w:rsid w:val="001F3962"/>
    <w:rPr>
      <w:rFonts w:ascii="Tahoma" w:eastAsia="Calibri" w:hAnsi="Tahoma" w:cs="Tahoma"/>
      <w:sz w:val="16"/>
      <w:szCs w:val="16"/>
    </w:rPr>
  </w:style>
  <w:style w:type="paragraph" w:styleId="Header">
    <w:name w:val="header"/>
    <w:basedOn w:val="Normal"/>
    <w:link w:val="HeaderChar"/>
    <w:uiPriority w:val="99"/>
    <w:rsid w:val="00F55278"/>
    <w:pPr>
      <w:tabs>
        <w:tab w:val="center" w:pos="4680"/>
        <w:tab w:val="right" w:pos="9360"/>
      </w:tabs>
    </w:pPr>
  </w:style>
  <w:style w:type="character" w:customStyle="1" w:styleId="HeaderChar">
    <w:name w:val="Header Char"/>
    <w:basedOn w:val="DefaultParagraphFont"/>
    <w:link w:val="Header"/>
    <w:uiPriority w:val="99"/>
    <w:rsid w:val="00F55278"/>
    <w:rPr>
      <w:rFonts w:eastAsia="Calibri"/>
      <w:sz w:val="24"/>
      <w:szCs w:val="24"/>
    </w:rPr>
  </w:style>
  <w:style w:type="paragraph" w:styleId="Footer">
    <w:name w:val="footer"/>
    <w:basedOn w:val="Normal"/>
    <w:link w:val="FooterChar"/>
    <w:uiPriority w:val="99"/>
    <w:rsid w:val="00F55278"/>
    <w:pPr>
      <w:tabs>
        <w:tab w:val="center" w:pos="4680"/>
        <w:tab w:val="right" w:pos="9360"/>
      </w:tabs>
    </w:pPr>
  </w:style>
  <w:style w:type="character" w:customStyle="1" w:styleId="FooterChar">
    <w:name w:val="Footer Char"/>
    <w:basedOn w:val="DefaultParagraphFont"/>
    <w:link w:val="Footer"/>
    <w:uiPriority w:val="99"/>
    <w:rsid w:val="00F55278"/>
    <w:rPr>
      <w:rFonts w:eastAsia="Calibri"/>
      <w:sz w:val="24"/>
      <w:szCs w:val="24"/>
    </w:rPr>
  </w:style>
  <w:style w:type="paragraph" w:styleId="ListParagraph">
    <w:name w:val="List Paragraph"/>
    <w:basedOn w:val="Normal"/>
    <w:uiPriority w:val="34"/>
    <w:qFormat/>
    <w:rsid w:val="00F029AC"/>
    <w:pPr>
      <w:ind w:left="720"/>
      <w:contextualSpacing/>
    </w:pPr>
  </w:style>
  <w:style w:type="character" w:styleId="Hyperlink">
    <w:name w:val="Hyperlink"/>
    <w:basedOn w:val="DefaultParagraphFont"/>
    <w:rsid w:val="000929EE"/>
    <w:rPr>
      <w:color w:val="0000FF" w:themeColor="hyperlink"/>
      <w:u w:val="single"/>
    </w:rPr>
  </w:style>
  <w:style w:type="paragraph" w:styleId="FootnoteText">
    <w:name w:val="footnote text"/>
    <w:basedOn w:val="Normal"/>
    <w:link w:val="FootnoteTextChar"/>
    <w:rsid w:val="00050D42"/>
  </w:style>
  <w:style w:type="character" w:customStyle="1" w:styleId="FootnoteTextChar">
    <w:name w:val="Footnote Text Char"/>
    <w:basedOn w:val="DefaultParagraphFont"/>
    <w:link w:val="FootnoteText"/>
    <w:rsid w:val="00050D42"/>
    <w:rPr>
      <w:rFonts w:eastAsia="Calibri"/>
      <w:sz w:val="24"/>
      <w:szCs w:val="24"/>
    </w:rPr>
  </w:style>
  <w:style w:type="character" w:styleId="FootnoteReference">
    <w:name w:val="footnote reference"/>
    <w:basedOn w:val="DefaultParagraphFont"/>
    <w:rsid w:val="00050D42"/>
    <w:rPr>
      <w:vertAlign w:val="superscript"/>
    </w:rPr>
  </w:style>
  <w:style w:type="character" w:styleId="FollowedHyperlink">
    <w:name w:val="FollowedHyperlink"/>
    <w:basedOn w:val="DefaultParagraphFont"/>
    <w:rsid w:val="00D752F1"/>
    <w:rPr>
      <w:color w:val="800080" w:themeColor="followedHyperlink"/>
      <w:u w:val="single"/>
    </w:rPr>
  </w:style>
  <w:style w:type="character" w:customStyle="1" w:styleId="apple-converted-space">
    <w:name w:val="apple-converted-space"/>
    <w:basedOn w:val="DefaultParagraphFont"/>
    <w:rsid w:val="003E59CF"/>
  </w:style>
  <w:style w:type="paragraph" w:customStyle="1" w:styleId="contentwidth">
    <w:name w:val="contentwidth"/>
    <w:basedOn w:val="Normal"/>
    <w:rsid w:val="003E59CF"/>
    <w:pPr>
      <w:spacing w:before="100" w:beforeAutospacing="1" w:after="100" w:afterAutospacing="1"/>
    </w:pPr>
    <w:rPr>
      <w:rFonts w:ascii="Times" w:eastAsia="Times New Roman" w:hAnsi="Times"/>
      <w:sz w:val="20"/>
      <w:szCs w:val="20"/>
    </w:rPr>
  </w:style>
  <w:style w:type="character" w:styleId="Strong">
    <w:name w:val="Strong"/>
    <w:basedOn w:val="DefaultParagraphFont"/>
    <w:uiPriority w:val="22"/>
    <w:qFormat/>
    <w:rsid w:val="003E59CF"/>
    <w:rPr>
      <w:b/>
      <w:bCs/>
    </w:rPr>
  </w:style>
  <w:style w:type="paragraph" w:styleId="NoSpacing">
    <w:name w:val="No Spacing"/>
    <w:link w:val="NoSpacingChar"/>
    <w:uiPriority w:val="1"/>
    <w:qFormat/>
    <w:rsid w:val="00EE32D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E32D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6030">
      <w:bodyDiv w:val="1"/>
      <w:marLeft w:val="0"/>
      <w:marRight w:val="0"/>
      <w:marTop w:val="0"/>
      <w:marBottom w:val="0"/>
      <w:divBdr>
        <w:top w:val="none" w:sz="0" w:space="0" w:color="auto"/>
        <w:left w:val="none" w:sz="0" w:space="0" w:color="auto"/>
        <w:bottom w:val="none" w:sz="0" w:space="0" w:color="auto"/>
        <w:right w:val="none" w:sz="0" w:space="0" w:color="auto"/>
      </w:divBdr>
    </w:div>
    <w:div w:id="160582731">
      <w:bodyDiv w:val="1"/>
      <w:marLeft w:val="0"/>
      <w:marRight w:val="0"/>
      <w:marTop w:val="0"/>
      <w:marBottom w:val="0"/>
      <w:divBdr>
        <w:top w:val="none" w:sz="0" w:space="0" w:color="auto"/>
        <w:left w:val="none" w:sz="0" w:space="0" w:color="auto"/>
        <w:bottom w:val="none" w:sz="0" w:space="0" w:color="auto"/>
        <w:right w:val="none" w:sz="0" w:space="0" w:color="auto"/>
      </w:divBdr>
    </w:div>
    <w:div w:id="208030071">
      <w:bodyDiv w:val="1"/>
      <w:marLeft w:val="0"/>
      <w:marRight w:val="0"/>
      <w:marTop w:val="0"/>
      <w:marBottom w:val="0"/>
      <w:divBdr>
        <w:top w:val="none" w:sz="0" w:space="0" w:color="auto"/>
        <w:left w:val="none" w:sz="0" w:space="0" w:color="auto"/>
        <w:bottom w:val="none" w:sz="0" w:space="0" w:color="auto"/>
        <w:right w:val="none" w:sz="0" w:space="0" w:color="auto"/>
      </w:divBdr>
    </w:div>
    <w:div w:id="451437673">
      <w:bodyDiv w:val="1"/>
      <w:marLeft w:val="0"/>
      <w:marRight w:val="0"/>
      <w:marTop w:val="0"/>
      <w:marBottom w:val="0"/>
      <w:divBdr>
        <w:top w:val="none" w:sz="0" w:space="0" w:color="auto"/>
        <w:left w:val="none" w:sz="0" w:space="0" w:color="auto"/>
        <w:bottom w:val="none" w:sz="0" w:space="0" w:color="auto"/>
        <w:right w:val="none" w:sz="0" w:space="0" w:color="auto"/>
      </w:divBdr>
    </w:div>
    <w:div w:id="526139232">
      <w:bodyDiv w:val="1"/>
      <w:marLeft w:val="0"/>
      <w:marRight w:val="0"/>
      <w:marTop w:val="0"/>
      <w:marBottom w:val="0"/>
      <w:divBdr>
        <w:top w:val="none" w:sz="0" w:space="0" w:color="auto"/>
        <w:left w:val="none" w:sz="0" w:space="0" w:color="auto"/>
        <w:bottom w:val="none" w:sz="0" w:space="0" w:color="auto"/>
        <w:right w:val="none" w:sz="0" w:space="0" w:color="auto"/>
      </w:divBdr>
    </w:div>
    <w:div w:id="572667975">
      <w:bodyDiv w:val="1"/>
      <w:marLeft w:val="0"/>
      <w:marRight w:val="0"/>
      <w:marTop w:val="0"/>
      <w:marBottom w:val="0"/>
      <w:divBdr>
        <w:top w:val="none" w:sz="0" w:space="0" w:color="auto"/>
        <w:left w:val="none" w:sz="0" w:space="0" w:color="auto"/>
        <w:bottom w:val="none" w:sz="0" w:space="0" w:color="auto"/>
        <w:right w:val="none" w:sz="0" w:space="0" w:color="auto"/>
      </w:divBdr>
    </w:div>
    <w:div w:id="754279127">
      <w:bodyDiv w:val="1"/>
      <w:marLeft w:val="0"/>
      <w:marRight w:val="0"/>
      <w:marTop w:val="0"/>
      <w:marBottom w:val="0"/>
      <w:divBdr>
        <w:top w:val="none" w:sz="0" w:space="0" w:color="auto"/>
        <w:left w:val="none" w:sz="0" w:space="0" w:color="auto"/>
        <w:bottom w:val="none" w:sz="0" w:space="0" w:color="auto"/>
        <w:right w:val="none" w:sz="0" w:space="0" w:color="auto"/>
      </w:divBdr>
      <w:divsChild>
        <w:div w:id="1616061795">
          <w:marLeft w:val="0"/>
          <w:marRight w:val="0"/>
          <w:marTop w:val="0"/>
          <w:marBottom w:val="0"/>
          <w:divBdr>
            <w:top w:val="none" w:sz="0" w:space="0" w:color="auto"/>
            <w:left w:val="none" w:sz="0" w:space="0" w:color="auto"/>
            <w:bottom w:val="none" w:sz="0" w:space="0" w:color="auto"/>
            <w:right w:val="none" w:sz="0" w:space="0" w:color="auto"/>
          </w:divBdr>
        </w:div>
        <w:div w:id="1698122004">
          <w:marLeft w:val="0"/>
          <w:marRight w:val="0"/>
          <w:marTop w:val="0"/>
          <w:marBottom w:val="0"/>
          <w:divBdr>
            <w:top w:val="none" w:sz="0" w:space="0" w:color="auto"/>
            <w:left w:val="none" w:sz="0" w:space="0" w:color="auto"/>
            <w:bottom w:val="none" w:sz="0" w:space="0" w:color="auto"/>
            <w:right w:val="none" w:sz="0" w:space="0" w:color="auto"/>
          </w:divBdr>
        </w:div>
        <w:div w:id="645234448">
          <w:marLeft w:val="0"/>
          <w:marRight w:val="0"/>
          <w:marTop w:val="0"/>
          <w:marBottom w:val="0"/>
          <w:divBdr>
            <w:top w:val="none" w:sz="0" w:space="0" w:color="auto"/>
            <w:left w:val="none" w:sz="0" w:space="0" w:color="auto"/>
            <w:bottom w:val="none" w:sz="0" w:space="0" w:color="auto"/>
            <w:right w:val="none" w:sz="0" w:space="0" w:color="auto"/>
          </w:divBdr>
        </w:div>
        <w:div w:id="1010722622">
          <w:marLeft w:val="0"/>
          <w:marRight w:val="0"/>
          <w:marTop w:val="0"/>
          <w:marBottom w:val="0"/>
          <w:divBdr>
            <w:top w:val="none" w:sz="0" w:space="0" w:color="auto"/>
            <w:left w:val="none" w:sz="0" w:space="0" w:color="auto"/>
            <w:bottom w:val="none" w:sz="0" w:space="0" w:color="auto"/>
            <w:right w:val="none" w:sz="0" w:space="0" w:color="auto"/>
          </w:divBdr>
        </w:div>
        <w:div w:id="1841971289">
          <w:marLeft w:val="0"/>
          <w:marRight w:val="0"/>
          <w:marTop w:val="0"/>
          <w:marBottom w:val="0"/>
          <w:divBdr>
            <w:top w:val="none" w:sz="0" w:space="0" w:color="auto"/>
            <w:left w:val="none" w:sz="0" w:space="0" w:color="auto"/>
            <w:bottom w:val="none" w:sz="0" w:space="0" w:color="auto"/>
            <w:right w:val="none" w:sz="0" w:space="0" w:color="auto"/>
          </w:divBdr>
        </w:div>
        <w:div w:id="1039819828">
          <w:marLeft w:val="0"/>
          <w:marRight w:val="0"/>
          <w:marTop w:val="0"/>
          <w:marBottom w:val="0"/>
          <w:divBdr>
            <w:top w:val="none" w:sz="0" w:space="0" w:color="auto"/>
            <w:left w:val="none" w:sz="0" w:space="0" w:color="auto"/>
            <w:bottom w:val="none" w:sz="0" w:space="0" w:color="auto"/>
            <w:right w:val="none" w:sz="0" w:space="0" w:color="auto"/>
          </w:divBdr>
        </w:div>
        <w:div w:id="1225872522">
          <w:marLeft w:val="0"/>
          <w:marRight w:val="0"/>
          <w:marTop w:val="0"/>
          <w:marBottom w:val="0"/>
          <w:divBdr>
            <w:top w:val="none" w:sz="0" w:space="0" w:color="auto"/>
            <w:left w:val="none" w:sz="0" w:space="0" w:color="auto"/>
            <w:bottom w:val="none" w:sz="0" w:space="0" w:color="auto"/>
            <w:right w:val="none" w:sz="0" w:space="0" w:color="auto"/>
          </w:divBdr>
        </w:div>
        <w:div w:id="1130980383">
          <w:marLeft w:val="0"/>
          <w:marRight w:val="0"/>
          <w:marTop w:val="0"/>
          <w:marBottom w:val="0"/>
          <w:divBdr>
            <w:top w:val="none" w:sz="0" w:space="0" w:color="auto"/>
            <w:left w:val="none" w:sz="0" w:space="0" w:color="auto"/>
            <w:bottom w:val="none" w:sz="0" w:space="0" w:color="auto"/>
            <w:right w:val="none" w:sz="0" w:space="0" w:color="auto"/>
          </w:divBdr>
        </w:div>
        <w:div w:id="583344104">
          <w:marLeft w:val="0"/>
          <w:marRight w:val="0"/>
          <w:marTop w:val="0"/>
          <w:marBottom w:val="0"/>
          <w:divBdr>
            <w:top w:val="none" w:sz="0" w:space="0" w:color="auto"/>
            <w:left w:val="none" w:sz="0" w:space="0" w:color="auto"/>
            <w:bottom w:val="none" w:sz="0" w:space="0" w:color="auto"/>
            <w:right w:val="none" w:sz="0" w:space="0" w:color="auto"/>
          </w:divBdr>
        </w:div>
        <w:div w:id="271321817">
          <w:marLeft w:val="0"/>
          <w:marRight w:val="0"/>
          <w:marTop w:val="0"/>
          <w:marBottom w:val="0"/>
          <w:divBdr>
            <w:top w:val="none" w:sz="0" w:space="0" w:color="auto"/>
            <w:left w:val="none" w:sz="0" w:space="0" w:color="auto"/>
            <w:bottom w:val="none" w:sz="0" w:space="0" w:color="auto"/>
            <w:right w:val="none" w:sz="0" w:space="0" w:color="auto"/>
          </w:divBdr>
        </w:div>
        <w:div w:id="888807224">
          <w:marLeft w:val="0"/>
          <w:marRight w:val="0"/>
          <w:marTop w:val="0"/>
          <w:marBottom w:val="0"/>
          <w:divBdr>
            <w:top w:val="none" w:sz="0" w:space="0" w:color="auto"/>
            <w:left w:val="none" w:sz="0" w:space="0" w:color="auto"/>
            <w:bottom w:val="none" w:sz="0" w:space="0" w:color="auto"/>
            <w:right w:val="none" w:sz="0" w:space="0" w:color="auto"/>
          </w:divBdr>
        </w:div>
      </w:divsChild>
    </w:div>
    <w:div w:id="767701761">
      <w:bodyDiv w:val="1"/>
      <w:marLeft w:val="0"/>
      <w:marRight w:val="0"/>
      <w:marTop w:val="0"/>
      <w:marBottom w:val="0"/>
      <w:divBdr>
        <w:top w:val="none" w:sz="0" w:space="0" w:color="auto"/>
        <w:left w:val="none" w:sz="0" w:space="0" w:color="auto"/>
        <w:bottom w:val="none" w:sz="0" w:space="0" w:color="auto"/>
        <w:right w:val="none" w:sz="0" w:space="0" w:color="auto"/>
      </w:divBdr>
      <w:divsChild>
        <w:div w:id="1307664070">
          <w:marLeft w:val="0"/>
          <w:marRight w:val="0"/>
          <w:marTop w:val="0"/>
          <w:marBottom w:val="0"/>
          <w:divBdr>
            <w:top w:val="none" w:sz="0" w:space="0" w:color="auto"/>
            <w:left w:val="none" w:sz="0" w:space="0" w:color="auto"/>
            <w:bottom w:val="none" w:sz="0" w:space="0" w:color="auto"/>
            <w:right w:val="none" w:sz="0" w:space="0" w:color="auto"/>
          </w:divBdr>
        </w:div>
        <w:div w:id="2042582512">
          <w:marLeft w:val="0"/>
          <w:marRight w:val="0"/>
          <w:marTop w:val="0"/>
          <w:marBottom w:val="0"/>
          <w:divBdr>
            <w:top w:val="none" w:sz="0" w:space="0" w:color="auto"/>
            <w:left w:val="none" w:sz="0" w:space="0" w:color="auto"/>
            <w:bottom w:val="none" w:sz="0" w:space="0" w:color="auto"/>
            <w:right w:val="none" w:sz="0" w:space="0" w:color="auto"/>
          </w:divBdr>
        </w:div>
        <w:div w:id="1822622367">
          <w:marLeft w:val="0"/>
          <w:marRight w:val="0"/>
          <w:marTop w:val="0"/>
          <w:marBottom w:val="0"/>
          <w:divBdr>
            <w:top w:val="none" w:sz="0" w:space="0" w:color="auto"/>
            <w:left w:val="none" w:sz="0" w:space="0" w:color="auto"/>
            <w:bottom w:val="none" w:sz="0" w:space="0" w:color="auto"/>
            <w:right w:val="none" w:sz="0" w:space="0" w:color="auto"/>
          </w:divBdr>
        </w:div>
        <w:div w:id="517083470">
          <w:marLeft w:val="0"/>
          <w:marRight w:val="0"/>
          <w:marTop w:val="0"/>
          <w:marBottom w:val="0"/>
          <w:divBdr>
            <w:top w:val="none" w:sz="0" w:space="0" w:color="auto"/>
            <w:left w:val="none" w:sz="0" w:space="0" w:color="auto"/>
            <w:bottom w:val="none" w:sz="0" w:space="0" w:color="auto"/>
            <w:right w:val="none" w:sz="0" w:space="0" w:color="auto"/>
          </w:divBdr>
        </w:div>
        <w:div w:id="2103796973">
          <w:marLeft w:val="0"/>
          <w:marRight w:val="0"/>
          <w:marTop w:val="0"/>
          <w:marBottom w:val="0"/>
          <w:divBdr>
            <w:top w:val="none" w:sz="0" w:space="0" w:color="auto"/>
            <w:left w:val="none" w:sz="0" w:space="0" w:color="auto"/>
            <w:bottom w:val="none" w:sz="0" w:space="0" w:color="auto"/>
            <w:right w:val="none" w:sz="0" w:space="0" w:color="auto"/>
          </w:divBdr>
        </w:div>
        <w:div w:id="1908762954">
          <w:marLeft w:val="0"/>
          <w:marRight w:val="0"/>
          <w:marTop w:val="0"/>
          <w:marBottom w:val="0"/>
          <w:divBdr>
            <w:top w:val="none" w:sz="0" w:space="0" w:color="auto"/>
            <w:left w:val="none" w:sz="0" w:space="0" w:color="auto"/>
            <w:bottom w:val="none" w:sz="0" w:space="0" w:color="auto"/>
            <w:right w:val="none" w:sz="0" w:space="0" w:color="auto"/>
          </w:divBdr>
        </w:div>
        <w:div w:id="1911842668">
          <w:marLeft w:val="0"/>
          <w:marRight w:val="0"/>
          <w:marTop w:val="0"/>
          <w:marBottom w:val="0"/>
          <w:divBdr>
            <w:top w:val="none" w:sz="0" w:space="0" w:color="auto"/>
            <w:left w:val="none" w:sz="0" w:space="0" w:color="auto"/>
            <w:bottom w:val="none" w:sz="0" w:space="0" w:color="auto"/>
            <w:right w:val="none" w:sz="0" w:space="0" w:color="auto"/>
          </w:divBdr>
        </w:div>
        <w:div w:id="1409301699">
          <w:marLeft w:val="0"/>
          <w:marRight w:val="0"/>
          <w:marTop w:val="0"/>
          <w:marBottom w:val="0"/>
          <w:divBdr>
            <w:top w:val="none" w:sz="0" w:space="0" w:color="auto"/>
            <w:left w:val="none" w:sz="0" w:space="0" w:color="auto"/>
            <w:bottom w:val="none" w:sz="0" w:space="0" w:color="auto"/>
            <w:right w:val="none" w:sz="0" w:space="0" w:color="auto"/>
          </w:divBdr>
        </w:div>
        <w:div w:id="711996133">
          <w:marLeft w:val="0"/>
          <w:marRight w:val="0"/>
          <w:marTop w:val="0"/>
          <w:marBottom w:val="0"/>
          <w:divBdr>
            <w:top w:val="none" w:sz="0" w:space="0" w:color="auto"/>
            <w:left w:val="none" w:sz="0" w:space="0" w:color="auto"/>
            <w:bottom w:val="none" w:sz="0" w:space="0" w:color="auto"/>
            <w:right w:val="none" w:sz="0" w:space="0" w:color="auto"/>
          </w:divBdr>
        </w:div>
        <w:div w:id="426930987">
          <w:marLeft w:val="0"/>
          <w:marRight w:val="0"/>
          <w:marTop w:val="0"/>
          <w:marBottom w:val="0"/>
          <w:divBdr>
            <w:top w:val="none" w:sz="0" w:space="0" w:color="auto"/>
            <w:left w:val="none" w:sz="0" w:space="0" w:color="auto"/>
            <w:bottom w:val="none" w:sz="0" w:space="0" w:color="auto"/>
            <w:right w:val="none" w:sz="0" w:space="0" w:color="auto"/>
          </w:divBdr>
        </w:div>
        <w:div w:id="1558475325">
          <w:marLeft w:val="0"/>
          <w:marRight w:val="0"/>
          <w:marTop w:val="0"/>
          <w:marBottom w:val="0"/>
          <w:divBdr>
            <w:top w:val="none" w:sz="0" w:space="0" w:color="auto"/>
            <w:left w:val="none" w:sz="0" w:space="0" w:color="auto"/>
            <w:bottom w:val="none" w:sz="0" w:space="0" w:color="auto"/>
            <w:right w:val="none" w:sz="0" w:space="0" w:color="auto"/>
          </w:divBdr>
        </w:div>
      </w:divsChild>
    </w:div>
    <w:div w:id="811942449">
      <w:bodyDiv w:val="1"/>
      <w:marLeft w:val="0"/>
      <w:marRight w:val="0"/>
      <w:marTop w:val="0"/>
      <w:marBottom w:val="0"/>
      <w:divBdr>
        <w:top w:val="none" w:sz="0" w:space="0" w:color="auto"/>
        <w:left w:val="none" w:sz="0" w:space="0" w:color="auto"/>
        <w:bottom w:val="none" w:sz="0" w:space="0" w:color="auto"/>
        <w:right w:val="none" w:sz="0" w:space="0" w:color="auto"/>
      </w:divBdr>
    </w:div>
    <w:div w:id="874661475">
      <w:bodyDiv w:val="1"/>
      <w:marLeft w:val="0"/>
      <w:marRight w:val="0"/>
      <w:marTop w:val="0"/>
      <w:marBottom w:val="0"/>
      <w:divBdr>
        <w:top w:val="none" w:sz="0" w:space="0" w:color="auto"/>
        <w:left w:val="none" w:sz="0" w:space="0" w:color="auto"/>
        <w:bottom w:val="none" w:sz="0" w:space="0" w:color="auto"/>
        <w:right w:val="none" w:sz="0" w:space="0" w:color="auto"/>
      </w:divBdr>
    </w:div>
    <w:div w:id="891581181">
      <w:bodyDiv w:val="1"/>
      <w:marLeft w:val="0"/>
      <w:marRight w:val="0"/>
      <w:marTop w:val="0"/>
      <w:marBottom w:val="0"/>
      <w:divBdr>
        <w:top w:val="none" w:sz="0" w:space="0" w:color="auto"/>
        <w:left w:val="none" w:sz="0" w:space="0" w:color="auto"/>
        <w:bottom w:val="none" w:sz="0" w:space="0" w:color="auto"/>
        <w:right w:val="none" w:sz="0" w:space="0" w:color="auto"/>
      </w:divBdr>
    </w:div>
    <w:div w:id="1006522518">
      <w:bodyDiv w:val="1"/>
      <w:marLeft w:val="0"/>
      <w:marRight w:val="0"/>
      <w:marTop w:val="0"/>
      <w:marBottom w:val="0"/>
      <w:divBdr>
        <w:top w:val="none" w:sz="0" w:space="0" w:color="auto"/>
        <w:left w:val="none" w:sz="0" w:space="0" w:color="auto"/>
        <w:bottom w:val="none" w:sz="0" w:space="0" w:color="auto"/>
        <w:right w:val="none" w:sz="0" w:space="0" w:color="auto"/>
      </w:divBdr>
    </w:div>
    <w:div w:id="1020277450">
      <w:bodyDiv w:val="1"/>
      <w:marLeft w:val="0"/>
      <w:marRight w:val="0"/>
      <w:marTop w:val="0"/>
      <w:marBottom w:val="0"/>
      <w:divBdr>
        <w:top w:val="none" w:sz="0" w:space="0" w:color="auto"/>
        <w:left w:val="none" w:sz="0" w:space="0" w:color="auto"/>
        <w:bottom w:val="none" w:sz="0" w:space="0" w:color="auto"/>
        <w:right w:val="none" w:sz="0" w:space="0" w:color="auto"/>
      </w:divBdr>
    </w:div>
    <w:div w:id="1043865623">
      <w:bodyDiv w:val="1"/>
      <w:marLeft w:val="0"/>
      <w:marRight w:val="0"/>
      <w:marTop w:val="0"/>
      <w:marBottom w:val="0"/>
      <w:divBdr>
        <w:top w:val="none" w:sz="0" w:space="0" w:color="auto"/>
        <w:left w:val="none" w:sz="0" w:space="0" w:color="auto"/>
        <w:bottom w:val="none" w:sz="0" w:space="0" w:color="auto"/>
        <w:right w:val="none" w:sz="0" w:space="0" w:color="auto"/>
      </w:divBdr>
    </w:div>
    <w:div w:id="1134715500">
      <w:bodyDiv w:val="1"/>
      <w:marLeft w:val="0"/>
      <w:marRight w:val="0"/>
      <w:marTop w:val="0"/>
      <w:marBottom w:val="0"/>
      <w:divBdr>
        <w:top w:val="none" w:sz="0" w:space="0" w:color="auto"/>
        <w:left w:val="none" w:sz="0" w:space="0" w:color="auto"/>
        <w:bottom w:val="none" w:sz="0" w:space="0" w:color="auto"/>
        <w:right w:val="none" w:sz="0" w:space="0" w:color="auto"/>
      </w:divBdr>
    </w:div>
    <w:div w:id="1203903363">
      <w:bodyDiv w:val="1"/>
      <w:marLeft w:val="0"/>
      <w:marRight w:val="0"/>
      <w:marTop w:val="0"/>
      <w:marBottom w:val="0"/>
      <w:divBdr>
        <w:top w:val="none" w:sz="0" w:space="0" w:color="auto"/>
        <w:left w:val="none" w:sz="0" w:space="0" w:color="auto"/>
        <w:bottom w:val="none" w:sz="0" w:space="0" w:color="auto"/>
        <w:right w:val="none" w:sz="0" w:space="0" w:color="auto"/>
      </w:divBdr>
    </w:div>
    <w:div w:id="1211308788">
      <w:bodyDiv w:val="1"/>
      <w:marLeft w:val="0"/>
      <w:marRight w:val="0"/>
      <w:marTop w:val="0"/>
      <w:marBottom w:val="0"/>
      <w:divBdr>
        <w:top w:val="none" w:sz="0" w:space="0" w:color="auto"/>
        <w:left w:val="none" w:sz="0" w:space="0" w:color="auto"/>
        <w:bottom w:val="none" w:sz="0" w:space="0" w:color="auto"/>
        <w:right w:val="none" w:sz="0" w:space="0" w:color="auto"/>
      </w:divBdr>
    </w:div>
    <w:div w:id="1367757469">
      <w:bodyDiv w:val="1"/>
      <w:marLeft w:val="0"/>
      <w:marRight w:val="0"/>
      <w:marTop w:val="0"/>
      <w:marBottom w:val="0"/>
      <w:divBdr>
        <w:top w:val="none" w:sz="0" w:space="0" w:color="auto"/>
        <w:left w:val="none" w:sz="0" w:space="0" w:color="auto"/>
        <w:bottom w:val="none" w:sz="0" w:space="0" w:color="auto"/>
        <w:right w:val="none" w:sz="0" w:space="0" w:color="auto"/>
      </w:divBdr>
    </w:div>
    <w:div w:id="1380401809">
      <w:bodyDiv w:val="1"/>
      <w:marLeft w:val="0"/>
      <w:marRight w:val="0"/>
      <w:marTop w:val="0"/>
      <w:marBottom w:val="0"/>
      <w:divBdr>
        <w:top w:val="none" w:sz="0" w:space="0" w:color="auto"/>
        <w:left w:val="none" w:sz="0" w:space="0" w:color="auto"/>
        <w:bottom w:val="none" w:sz="0" w:space="0" w:color="auto"/>
        <w:right w:val="none" w:sz="0" w:space="0" w:color="auto"/>
      </w:divBdr>
    </w:div>
    <w:div w:id="1394813608">
      <w:bodyDiv w:val="1"/>
      <w:marLeft w:val="0"/>
      <w:marRight w:val="0"/>
      <w:marTop w:val="0"/>
      <w:marBottom w:val="0"/>
      <w:divBdr>
        <w:top w:val="none" w:sz="0" w:space="0" w:color="auto"/>
        <w:left w:val="none" w:sz="0" w:space="0" w:color="auto"/>
        <w:bottom w:val="none" w:sz="0" w:space="0" w:color="auto"/>
        <w:right w:val="none" w:sz="0" w:space="0" w:color="auto"/>
      </w:divBdr>
    </w:div>
    <w:div w:id="1433014536">
      <w:bodyDiv w:val="1"/>
      <w:marLeft w:val="0"/>
      <w:marRight w:val="0"/>
      <w:marTop w:val="0"/>
      <w:marBottom w:val="0"/>
      <w:divBdr>
        <w:top w:val="none" w:sz="0" w:space="0" w:color="auto"/>
        <w:left w:val="none" w:sz="0" w:space="0" w:color="auto"/>
        <w:bottom w:val="none" w:sz="0" w:space="0" w:color="auto"/>
        <w:right w:val="none" w:sz="0" w:space="0" w:color="auto"/>
      </w:divBdr>
    </w:div>
    <w:div w:id="1439984935">
      <w:bodyDiv w:val="1"/>
      <w:marLeft w:val="0"/>
      <w:marRight w:val="0"/>
      <w:marTop w:val="0"/>
      <w:marBottom w:val="0"/>
      <w:divBdr>
        <w:top w:val="none" w:sz="0" w:space="0" w:color="auto"/>
        <w:left w:val="none" w:sz="0" w:space="0" w:color="auto"/>
        <w:bottom w:val="none" w:sz="0" w:space="0" w:color="auto"/>
        <w:right w:val="none" w:sz="0" w:space="0" w:color="auto"/>
      </w:divBdr>
    </w:div>
    <w:div w:id="1477723040">
      <w:bodyDiv w:val="1"/>
      <w:marLeft w:val="0"/>
      <w:marRight w:val="0"/>
      <w:marTop w:val="0"/>
      <w:marBottom w:val="0"/>
      <w:divBdr>
        <w:top w:val="none" w:sz="0" w:space="0" w:color="auto"/>
        <w:left w:val="none" w:sz="0" w:space="0" w:color="auto"/>
        <w:bottom w:val="none" w:sz="0" w:space="0" w:color="auto"/>
        <w:right w:val="none" w:sz="0" w:space="0" w:color="auto"/>
      </w:divBdr>
    </w:div>
    <w:div w:id="1518930960">
      <w:bodyDiv w:val="1"/>
      <w:marLeft w:val="0"/>
      <w:marRight w:val="0"/>
      <w:marTop w:val="0"/>
      <w:marBottom w:val="0"/>
      <w:divBdr>
        <w:top w:val="none" w:sz="0" w:space="0" w:color="auto"/>
        <w:left w:val="none" w:sz="0" w:space="0" w:color="auto"/>
        <w:bottom w:val="none" w:sz="0" w:space="0" w:color="auto"/>
        <w:right w:val="none" w:sz="0" w:space="0" w:color="auto"/>
      </w:divBdr>
    </w:div>
    <w:div w:id="1782458331">
      <w:bodyDiv w:val="1"/>
      <w:marLeft w:val="0"/>
      <w:marRight w:val="0"/>
      <w:marTop w:val="0"/>
      <w:marBottom w:val="0"/>
      <w:divBdr>
        <w:top w:val="none" w:sz="0" w:space="0" w:color="auto"/>
        <w:left w:val="none" w:sz="0" w:space="0" w:color="auto"/>
        <w:bottom w:val="none" w:sz="0" w:space="0" w:color="auto"/>
        <w:right w:val="none" w:sz="0" w:space="0" w:color="auto"/>
      </w:divBdr>
    </w:div>
    <w:div w:id="184582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cenet.edu/news-room/Documents/GSU-AmicusBrie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Vaughn\Desktop\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42EA31530841BDB446B4CD69AF6130"/>
        <w:category>
          <w:name w:val="General"/>
          <w:gallery w:val="placeholder"/>
        </w:category>
        <w:types>
          <w:type w:val="bbPlcHdr"/>
        </w:types>
        <w:behaviors>
          <w:behavior w:val="content"/>
        </w:behaviors>
        <w:guid w:val="{6FB61F45-0A65-4408-BF9C-28C0BDFCC4C5}"/>
      </w:docPartPr>
      <w:docPartBody>
        <w:p w:rsidR="00545418" w:rsidRDefault="00C40079" w:rsidP="00C40079">
          <w:pPr>
            <w:pStyle w:val="5E42EA31530841BDB446B4CD69AF6130"/>
          </w:pPr>
          <w:r>
            <w:rPr>
              <w:rFonts w:asciiTheme="majorHAnsi" w:eastAsiaTheme="majorEastAsia" w:hAnsiTheme="majorHAnsi" w:cstheme="majorBidi"/>
              <w:sz w:val="80"/>
              <w:szCs w:val="80"/>
            </w:rPr>
            <w:t>[Type the document title]</w:t>
          </w:r>
        </w:p>
      </w:docPartBody>
    </w:docPart>
    <w:docPart>
      <w:docPartPr>
        <w:name w:val="EFE531833FED44398938C8D55B3BACC2"/>
        <w:category>
          <w:name w:val="General"/>
          <w:gallery w:val="placeholder"/>
        </w:category>
        <w:types>
          <w:type w:val="bbPlcHdr"/>
        </w:types>
        <w:behaviors>
          <w:behavior w:val="content"/>
        </w:behaviors>
        <w:guid w:val="{863452FA-F33B-4006-A451-8ECF0538DE50}"/>
      </w:docPartPr>
      <w:docPartBody>
        <w:p w:rsidR="00545418" w:rsidRDefault="00C40079" w:rsidP="00C40079">
          <w:pPr>
            <w:pStyle w:val="EFE531833FED44398938C8D55B3BACC2"/>
          </w:pPr>
          <w:r>
            <w:rPr>
              <w:rFonts w:asciiTheme="majorHAnsi" w:eastAsiaTheme="majorEastAsia" w:hAnsiTheme="majorHAnsi" w:cstheme="majorBidi"/>
              <w:sz w:val="44"/>
              <w:szCs w:val="44"/>
            </w:rPr>
            <w:t>[Type the document subtitle]</w:t>
          </w:r>
        </w:p>
      </w:docPartBody>
    </w:docPart>
    <w:docPart>
      <w:docPartPr>
        <w:name w:val="9462AE656DC84285AEB6C3C86D425B8F"/>
        <w:category>
          <w:name w:val="General"/>
          <w:gallery w:val="placeholder"/>
        </w:category>
        <w:types>
          <w:type w:val="bbPlcHdr"/>
        </w:types>
        <w:behaviors>
          <w:behavior w:val="content"/>
        </w:behaviors>
        <w:guid w:val="{833787BB-681B-4D13-A508-E015AB70AB8A}"/>
      </w:docPartPr>
      <w:docPartBody>
        <w:p w:rsidR="00545418" w:rsidRDefault="00C40079" w:rsidP="00C40079">
          <w:pPr>
            <w:pStyle w:val="9462AE656DC84285AEB6C3C86D425B8F"/>
          </w:pPr>
          <w:r>
            <w:rPr>
              <w:b/>
              <w:bCs/>
            </w:rPr>
            <w:t>[Type the author name]</w:t>
          </w:r>
        </w:p>
      </w:docPartBody>
    </w:docPart>
    <w:docPart>
      <w:docPartPr>
        <w:name w:val="6A3629DE79CB4581A57E44F99A0C3571"/>
        <w:category>
          <w:name w:val="General"/>
          <w:gallery w:val="placeholder"/>
        </w:category>
        <w:types>
          <w:type w:val="bbPlcHdr"/>
        </w:types>
        <w:behaviors>
          <w:behavior w:val="content"/>
        </w:behaviors>
        <w:guid w:val="{0BA70390-1798-4996-B204-85DA9B0A5F5B}"/>
      </w:docPartPr>
      <w:docPartBody>
        <w:p w:rsidR="00545418" w:rsidRDefault="00C40079" w:rsidP="00C40079">
          <w:pPr>
            <w:pStyle w:val="6A3629DE79CB4581A57E44F99A0C3571"/>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79"/>
    <w:rsid w:val="003133F7"/>
    <w:rsid w:val="00545418"/>
    <w:rsid w:val="008D0EC3"/>
    <w:rsid w:val="00C4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9A0CD5A0DB47E3832801FD44E5C512">
    <w:name w:val="D59A0CD5A0DB47E3832801FD44E5C512"/>
    <w:rsid w:val="00C40079"/>
  </w:style>
  <w:style w:type="paragraph" w:customStyle="1" w:styleId="5E42EA31530841BDB446B4CD69AF6130">
    <w:name w:val="5E42EA31530841BDB446B4CD69AF6130"/>
    <w:rsid w:val="00C40079"/>
  </w:style>
  <w:style w:type="paragraph" w:customStyle="1" w:styleId="EFE531833FED44398938C8D55B3BACC2">
    <w:name w:val="EFE531833FED44398938C8D55B3BACC2"/>
    <w:rsid w:val="00C40079"/>
  </w:style>
  <w:style w:type="paragraph" w:customStyle="1" w:styleId="9462AE656DC84285AEB6C3C86D425B8F">
    <w:name w:val="9462AE656DC84285AEB6C3C86D425B8F"/>
    <w:rsid w:val="00C40079"/>
  </w:style>
  <w:style w:type="paragraph" w:customStyle="1" w:styleId="6A3629DE79CB4581A57E44F99A0C3571">
    <w:name w:val="6A3629DE79CB4581A57E44F99A0C3571"/>
    <w:rsid w:val="00C40079"/>
  </w:style>
  <w:style w:type="paragraph" w:customStyle="1" w:styleId="A6FAED14C4FA420E85D46796C9F5C150">
    <w:name w:val="A6FAED14C4FA420E85D46796C9F5C150"/>
    <w:rsid w:val="00C400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9A0CD5A0DB47E3832801FD44E5C512">
    <w:name w:val="D59A0CD5A0DB47E3832801FD44E5C512"/>
    <w:rsid w:val="00C40079"/>
  </w:style>
  <w:style w:type="paragraph" w:customStyle="1" w:styleId="5E42EA31530841BDB446B4CD69AF6130">
    <w:name w:val="5E42EA31530841BDB446B4CD69AF6130"/>
    <w:rsid w:val="00C40079"/>
  </w:style>
  <w:style w:type="paragraph" w:customStyle="1" w:styleId="EFE531833FED44398938C8D55B3BACC2">
    <w:name w:val="EFE531833FED44398938C8D55B3BACC2"/>
    <w:rsid w:val="00C40079"/>
  </w:style>
  <w:style w:type="paragraph" w:customStyle="1" w:styleId="9462AE656DC84285AEB6C3C86D425B8F">
    <w:name w:val="9462AE656DC84285AEB6C3C86D425B8F"/>
    <w:rsid w:val="00C40079"/>
  </w:style>
  <w:style w:type="paragraph" w:customStyle="1" w:styleId="6A3629DE79CB4581A57E44F99A0C3571">
    <w:name w:val="6A3629DE79CB4581A57E44F99A0C3571"/>
    <w:rsid w:val="00C40079"/>
  </w:style>
  <w:style w:type="paragraph" w:customStyle="1" w:styleId="A6FAED14C4FA420E85D46796C9F5C150">
    <w:name w:val="A6FAED14C4FA420E85D46796C9F5C150"/>
    <w:rsid w:val="00C400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2FC20B-CD8F-4B95-9890-FADB7170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Template.dot</Template>
  <TotalTime>1</TotalTime>
  <Pages>8</Pages>
  <Words>3782</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Copyright Issues in Education and for the Visually Impaired: Written Statement of Higher Education</vt:lpstr>
    </vt:vector>
  </TitlesOfParts>
  <Company>Association of American Universities</Company>
  <LinksUpToDate>false</LinksUpToDate>
  <CharactersWithSpaces>25290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Issues in Education and for the Visually Impaired: Written Statement of Higher Education</dc:title>
  <dc:subject>House Committee on the Judiciary’s Subcommittee on Courts, Intellectual Property, and the Internet</dc:subject>
  <dc:creator>Jack Bernard, Associate General Counsel, University of Michigan</dc:creator>
  <cp:lastModifiedBy>Jessica Sebeok</cp:lastModifiedBy>
  <cp:revision>4</cp:revision>
  <cp:lastPrinted>2014-11-17T18:55:00Z</cp:lastPrinted>
  <dcterms:created xsi:type="dcterms:W3CDTF">2014-11-17T19:20:00Z</dcterms:created>
  <dcterms:modified xsi:type="dcterms:W3CDTF">2014-11-17T19:20:00Z</dcterms:modified>
</cp:coreProperties>
</file>